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DEDA4B6" w:rsidR="000830E3" w:rsidRPr="000275CD" w:rsidRDefault="00E71D16" w:rsidP="00E71D16">
      <w:pPr>
        <w:pStyle w:val="Pagedecouverture"/>
        <w:rPr>
          <w:noProof/>
        </w:rPr>
      </w:pPr>
      <w:bookmarkStart w:id="0" w:name="LW_BM_COVERPAGE"/>
      <w:r>
        <w:rPr>
          <w:noProof/>
        </w:rPr>
        <w:pict w14:anchorId="57264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3296C6-1FA4-458E-8BBE-5030794F0060" style="width:455.25pt;height:548.25pt">
            <v:imagedata r:id="rId15" o:title=""/>
          </v:shape>
        </w:pict>
      </w:r>
    </w:p>
    <w:bookmarkEnd w:id="0"/>
    <w:p w14:paraId="2BAF3ADB" w14:textId="77777777" w:rsidR="000830E3" w:rsidRPr="000275CD" w:rsidRDefault="000830E3" w:rsidP="000830E3">
      <w:pPr>
        <w:rPr>
          <w:noProof/>
        </w:rPr>
        <w:sectPr w:rsidR="000830E3" w:rsidRPr="000275CD" w:rsidSect="00E71D16">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5D3A4001" w14:textId="77777777" w:rsidR="00E51455" w:rsidRPr="000275CD" w:rsidRDefault="00E51455" w:rsidP="00A9262C">
      <w:pPr>
        <w:pBdr>
          <w:top w:val="single" w:sz="4" w:space="1" w:color="auto"/>
          <w:left w:val="single" w:sz="4" w:space="0" w:color="auto"/>
          <w:bottom w:val="single" w:sz="4" w:space="3" w:color="auto"/>
          <w:right w:val="single" w:sz="4" w:space="4" w:color="auto"/>
        </w:pBdr>
        <w:spacing w:after="180"/>
        <w:rPr>
          <w:b/>
          <w:smallCaps/>
          <w:noProof/>
          <w:szCs w:val="24"/>
          <w:u w:val="single"/>
          <w:lang w:eastAsia="en-GB"/>
        </w:rPr>
      </w:pPr>
      <w:bookmarkStart w:id="1" w:name="_GoBack"/>
      <w:bookmarkEnd w:id="1"/>
      <w:r w:rsidRPr="000275CD">
        <w:rPr>
          <w:b/>
          <w:smallCaps/>
          <w:noProof/>
          <w:szCs w:val="24"/>
          <w:u w:val="single"/>
          <w:lang w:eastAsia="en-GB"/>
        </w:rPr>
        <w:lastRenderedPageBreak/>
        <w:t>Abstract</w:t>
      </w:r>
    </w:p>
    <w:p w14:paraId="1EB64A78" w14:textId="7BCAB35C" w:rsidR="00E51455" w:rsidRPr="00A9262C" w:rsidRDefault="005660C9" w:rsidP="00D64602">
      <w:pPr>
        <w:pBdr>
          <w:top w:val="single" w:sz="4" w:space="1" w:color="auto"/>
          <w:left w:val="single" w:sz="4" w:space="0" w:color="auto"/>
          <w:bottom w:val="single" w:sz="4" w:space="3" w:color="auto"/>
          <w:right w:val="single" w:sz="4" w:space="4" w:color="auto"/>
        </w:pBdr>
        <w:spacing w:after="200"/>
        <w:rPr>
          <w:noProof/>
          <w:lang w:eastAsia="en-GB"/>
        </w:rPr>
      </w:pPr>
      <w:r w:rsidRPr="000275CD">
        <w:rPr>
          <w:noProof/>
          <w:lang w:eastAsia="en-GB"/>
        </w:rPr>
        <w:t>In Greece, appointments to the highest positions in the court system were made with the involvement of the judiciary. Initiatives to restore trust in the justice system, including a post-retirement cooling-off period for judges, continue to be discussed. Major projects to improve the level of digitalisation are advancing well and efforts to promote the use of alternative dispute resolution continue. Recruitments of prosecutors and court staff alongside improvements in building infrastructure aim to address shortcomings.</w:t>
      </w:r>
      <w:r w:rsidRPr="000275CD">
        <w:rPr>
          <w:b/>
          <w:noProof/>
          <w:lang w:eastAsia="fr-FR"/>
        </w:rPr>
        <w:t xml:space="preserve"> </w:t>
      </w:r>
      <w:r w:rsidRPr="000275CD">
        <w:rPr>
          <w:noProof/>
          <w:lang w:eastAsia="en-GB"/>
        </w:rPr>
        <w:t xml:space="preserve">Reforms show promising results in judicial </w:t>
      </w:r>
      <w:r w:rsidRPr="00A9262C">
        <w:rPr>
          <w:noProof/>
          <w:lang w:eastAsia="en-GB"/>
        </w:rPr>
        <w:t>efficiency</w:t>
      </w:r>
      <w:r w:rsidR="00E51455" w:rsidRPr="00A9262C">
        <w:rPr>
          <w:noProof/>
          <w:lang w:eastAsia="en-GB"/>
        </w:rPr>
        <w:t xml:space="preserve">, </w:t>
      </w:r>
      <w:r w:rsidR="00236F43" w:rsidRPr="00A9262C">
        <w:rPr>
          <w:noProof/>
          <w:lang w:eastAsia="en-GB"/>
        </w:rPr>
        <w:t xml:space="preserve">as </w:t>
      </w:r>
      <w:r w:rsidR="00E51455" w:rsidRPr="00A9262C">
        <w:rPr>
          <w:noProof/>
          <w:lang w:eastAsia="en-GB"/>
        </w:rPr>
        <w:t xml:space="preserve">the length of proceedings </w:t>
      </w:r>
      <w:r w:rsidR="00236F43" w:rsidRPr="00A9262C">
        <w:rPr>
          <w:noProof/>
          <w:lang w:eastAsia="en-GB"/>
        </w:rPr>
        <w:t xml:space="preserve">has slightly decreased but still </w:t>
      </w:r>
      <w:r w:rsidR="00E51455" w:rsidRPr="00A9262C">
        <w:rPr>
          <w:noProof/>
          <w:lang w:eastAsia="en-GB"/>
        </w:rPr>
        <w:t xml:space="preserve">remains a serious challenge. Efforts to decongest civil courts and reduce delays include transferring non-litigious cases to lawyers and notaries, the digital publication of wills and revisions to the Code of Civil Procedure. </w:t>
      </w:r>
    </w:p>
    <w:p w14:paraId="5253AAD8" w14:textId="04BF5292" w:rsidR="00E51455" w:rsidRPr="00A9262C" w:rsidRDefault="00E51455" w:rsidP="00A9262C">
      <w:pPr>
        <w:pBdr>
          <w:top w:val="single" w:sz="4" w:space="1" w:color="auto"/>
          <w:left w:val="single" w:sz="4" w:space="0" w:color="auto"/>
          <w:bottom w:val="single" w:sz="4" w:space="3" w:color="auto"/>
          <w:right w:val="single" w:sz="4" w:space="4" w:color="auto"/>
        </w:pBdr>
        <w:spacing w:after="200"/>
        <w:rPr>
          <w:noProof/>
          <w:lang w:eastAsia="en-GB"/>
        </w:rPr>
      </w:pPr>
      <w:r w:rsidRPr="00A9262C">
        <w:rPr>
          <w:noProof/>
          <w:lang w:eastAsia="en-GB"/>
        </w:rPr>
        <w:t xml:space="preserve">The National Anti-Corruption Action Plan (NACAP) 2022-2025 was successfully implemented and a new NACAP is being finalised. </w:t>
      </w:r>
      <w:r w:rsidR="00965E43" w:rsidRPr="00A9262C">
        <w:rPr>
          <w:noProof/>
          <w:lang w:eastAsia="en-GB"/>
        </w:rPr>
        <w:t>W</w:t>
      </w:r>
      <w:r w:rsidRPr="00A9262C">
        <w:rPr>
          <w:noProof/>
          <w:lang w:eastAsia="en-GB"/>
        </w:rPr>
        <w:t>hile the number of prosecutions and final judgments, including high-level corruption, remains limited</w:t>
      </w:r>
      <w:r w:rsidR="00965E43" w:rsidRPr="00A9262C">
        <w:rPr>
          <w:noProof/>
          <w:lang w:eastAsia="en-GB"/>
        </w:rPr>
        <w:t>, the legal framework is in place and</w:t>
      </w:r>
      <w:r w:rsidR="004A0859" w:rsidRPr="00A9262C">
        <w:rPr>
          <w:noProof/>
          <w:lang w:eastAsia="en-GB"/>
        </w:rPr>
        <w:t xml:space="preserve"> </w:t>
      </w:r>
      <w:r w:rsidR="00965E43" w:rsidRPr="00A9262C">
        <w:rPr>
          <w:noProof/>
          <w:lang w:eastAsia="en-GB"/>
        </w:rPr>
        <w:t>implementing rules are being finalised for a digital registry that allow</w:t>
      </w:r>
      <w:r w:rsidR="00514B9C" w:rsidRPr="00A9262C">
        <w:rPr>
          <w:noProof/>
          <w:lang w:eastAsia="en-GB"/>
        </w:rPr>
        <w:t>s</w:t>
      </w:r>
      <w:r w:rsidR="00965E43" w:rsidRPr="00A9262C">
        <w:rPr>
          <w:noProof/>
          <w:lang w:eastAsia="en-GB"/>
        </w:rPr>
        <w:t xml:space="preserve"> a comprehensive monitoring of corruption cases</w:t>
      </w:r>
      <w:r w:rsidRPr="00A9262C">
        <w:rPr>
          <w:noProof/>
          <w:lang w:eastAsia="en-GB"/>
        </w:rPr>
        <w:t>.</w:t>
      </w:r>
      <w:r w:rsidR="00D02B28" w:rsidRPr="00A9262C">
        <w:rPr>
          <w:noProof/>
          <w:lang w:eastAsia="en-GB"/>
        </w:rPr>
        <w:t xml:space="preserve"> </w:t>
      </w:r>
      <w:r w:rsidRPr="00A9262C">
        <w:rPr>
          <w:noProof/>
          <w:lang w:eastAsia="en-GB"/>
        </w:rPr>
        <w:t>The police stepped up efforts to combat corruption. The submission</w:t>
      </w:r>
      <w:r w:rsidRPr="00A9262C">
        <w:rPr>
          <w:b/>
          <w:noProof/>
          <w:lang w:eastAsia="en-GB"/>
        </w:rPr>
        <w:t xml:space="preserve"> </w:t>
      </w:r>
      <w:r w:rsidRPr="00A9262C">
        <w:rPr>
          <w:noProof/>
          <w:lang w:eastAsia="en-GB"/>
        </w:rPr>
        <w:t xml:space="preserve">of asset declarations continues, including through the new electronic system ‘e-pothen’, though </w:t>
      </w:r>
      <w:r w:rsidR="00D51FEC" w:rsidRPr="00A9262C">
        <w:rPr>
          <w:noProof/>
          <w:lang w:eastAsia="en-GB"/>
        </w:rPr>
        <w:t xml:space="preserve">some </w:t>
      </w:r>
      <w:r w:rsidRPr="00A9262C">
        <w:rPr>
          <w:noProof/>
          <w:lang w:eastAsia="en-GB"/>
        </w:rPr>
        <w:t xml:space="preserve">delays in submissions and publications remain. </w:t>
      </w:r>
      <w:r w:rsidR="00AE7DA3" w:rsidRPr="00A9262C">
        <w:rPr>
          <w:noProof/>
          <w:lang w:eastAsia="en-GB"/>
        </w:rPr>
        <w:t>While implementation measures and awareness-raising activities are ongoing</w:t>
      </w:r>
      <w:r w:rsidR="009375D7" w:rsidRPr="00A9262C">
        <w:rPr>
          <w:noProof/>
          <w:lang w:eastAsia="en-GB"/>
        </w:rPr>
        <w:t>, no legislative changes have been introduced regarding the definition of lobbyists</w:t>
      </w:r>
      <w:r w:rsidR="009375D7" w:rsidRPr="00A9262C" w:rsidDel="00357B8D">
        <w:rPr>
          <w:noProof/>
          <w:lang w:eastAsia="en-GB"/>
        </w:rPr>
        <w:t xml:space="preserve"> </w:t>
      </w:r>
      <w:r w:rsidRPr="00A9262C">
        <w:rPr>
          <w:noProof/>
          <w:lang w:eastAsia="en-GB"/>
        </w:rPr>
        <w:t xml:space="preserve">and the number of registered lobbyists remains low. </w:t>
      </w:r>
      <w:r w:rsidRPr="00A9262C">
        <w:rPr>
          <w:rFonts w:eastAsiaTheme="minorEastAsia" w:cstheme="minorBidi"/>
          <w:noProof/>
          <w:lang w:eastAsia="fr-FR"/>
        </w:rPr>
        <w:t>Most political parties complied with funding rules, while concerns remain regarding transparency and implementation.</w:t>
      </w:r>
      <w:r w:rsidRPr="00A9262C">
        <w:rPr>
          <w:noProof/>
          <w:lang w:eastAsia="en-GB"/>
        </w:rPr>
        <w:t xml:space="preserve"> Recent reforms aim </w:t>
      </w:r>
      <w:r w:rsidR="00B93DFD" w:rsidRPr="00A9262C">
        <w:rPr>
          <w:noProof/>
          <w:lang w:eastAsia="en-GB"/>
        </w:rPr>
        <w:t xml:space="preserve">to </w:t>
      </w:r>
      <w:r w:rsidR="00B93DFD" w:rsidRPr="00A9262C">
        <w:rPr>
          <w:rFonts w:eastAsiaTheme="minorHAnsi" w:cstheme="minorBidi"/>
          <w:bCs/>
          <w:noProof/>
          <w:color w:val="000000"/>
          <w:szCs w:val="22"/>
          <w:lang w:eastAsia="en-US"/>
        </w:rPr>
        <w:t>address structural inefficiencies, enhance centralisation and</w:t>
      </w:r>
      <w:r w:rsidR="00B93DFD" w:rsidRPr="00A9262C">
        <w:rPr>
          <w:rFonts w:eastAsiaTheme="minorHAnsi" w:cstheme="minorBidi"/>
          <w:b/>
          <w:noProof/>
          <w:color w:val="000000"/>
          <w:szCs w:val="22"/>
          <w:lang w:eastAsia="en-US"/>
        </w:rPr>
        <w:t xml:space="preserve"> </w:t>
      </w:r>
      <w:r w:rsidRPr="00A9262C">
        <w:rPr>
          <w:noProof/>
          <w:lang w:eastAsia="en-GB"/>
        </w:rPr>
        <w:t>transparency in public procurement</w:t>
      </w:r>
      <w:r w:rsidR="000E4FE6" w:rsidRPr="00A9262C">
        <w:rPr>
          <w:noProof/>
          <w:lang w:eastAsia="en-GB"/>
        </w:rPr>
        <w:t xml:space="preserve"> </w:t>
      </w:r>
      <w:r w:rsidR="00166966" w:rsidRPr="00A9262C">
        <w:rPr>
          <w:noProof/>
          <w:lang w:eastAsia="en-GB"/>
        </w:rPr>
        <w:t xml:space="preserve">to </w:t>
      </w:r>
      <w:r w:rsidR="0075734D" w:rsidRPr="00A9262C">
        <w:rPr>
          <w:noProof/>
          <w:lang w:eastAsia="en-GB"/>
        </w:rPr>
        <w:t xml:space="preserve">reduce </w:t>
      </w:r>
      <w:r w:rsidR="00166966" w:rsidRPr="00A9262C">
        <w:rPr>
          <w:noProof/>
          <w:lang w:eastAsia="en-GB"/>
        </w:rPr>
        <w:t>corruption risks</w:t>
      </w:r>
      <w:r w:rsidRPr="00A9262C">
        <w:rPr>
          <w:noProof/>
          <w:lang w:eastAsia="en-GB"/>
        </w:rPr>
        <w:t xml:space="preserve">.  </w:t>
      </w:r>
    </w:p>
    <w:p w14:paraId="6ECE04B8" w14:textId="60D5E023" w:rsidR="00E51455" w:rsidRPr="00A9262C" w:rsidRDefault="001B6253" w:rsidP="00A9262C">
      <w:pPr>
        <w:pBdr>
          <w:top w:val="single" w:sz="4" w:space="1" w:color="auto"/>
          <w:left w:val="single" w:sz="4" w:space="0" w:color="auto"/>
          <w:bottom w:val="single" w:sz="4" w:space="3" w:color="auto"/>
          <w:right w:val="single" w:sz="4" w:space="4" w:color="auto"/>
        </w:pBdr>
        <w:spacing w:after="200"/>
        <w:rPr>
          <w:noProof/>
          <w:lang w:eastAsia="en-GB"/>
        </w:rPr>
      </w:pPr>
      <w:r w:rsidRPr="00A9262C">
        <w:rPr>
          <w:noProof/>
          <w:lang w:eastAsia="en-GB"/>
        </w:rPr>
        <w:t>Th</w:t>
      </w:r>
      <w:r w:rsidR="008A18F0" w:rsidRPr="00A9262C">
        <w:rPr>
          <w:noProof/>
          <w:lang w:eastAsia="en-GB"/>
        </w:rPr>
        <w:t>e</w:t>
      </w:r>
      <w:r w:rsidRPr="00A9262C">
        <w:rPr>
          <w:noProof/>
          <w:lang w:eastAsia="en-GB"/>
        </w:rPr>
        <w:t xml:space="preserve"> s</w:t>
      </w:r>
      <w:r w:rsidR="00E51455" w:rsidRPr="00A9262C">
        <w:rPr>
          <w:noProof/>
          <w:lang w:eastAsia="en-GB"/>
        </w:rPr>
        <w:t>trengthening of the media regulator</w:t>
      </w:r>
      <w:r w:rsidR="000C5886" w:rsidRPr="00A9262C">
        <w:rPr>
          <w:noProof/>
          <w:lang w:eastAsia="en-GB"/>
        </w:rPr>
        <w:t>’s supervisory role, its funding and staff</w:t>
      </w:r>
      <w:r w:rsidR="00E51455" w:rsidRPr="00A9262C">
        <w:rPr>
          <w:noProof/>
          <w:lang w:eastAsia="en-GB"/>
        </w:rPr>
        <w:t xml:space="preserve"> continues, including through </w:t>
      </w:r>
      <w:r w:rsidR="00B13A4A" w:rsidRPr="00A9262C">
        <w:rPr>
          <w:noProof/>
          <w:lang w:eastAsia="en-GB"/>
        </w:rPr>
        <w:t xml:space="preserve">the adoption of </w:t>
      </w:r>
      <w:r w:rsidR="00E51455" w:rsidRPr="00A9262C">
        <w:rPr>
          <w:noProof/>
          <w:lang w:eastAsia="en-GB"/>
        </w:rPr>
        <w:t>new legislation</w:t>
      </w:r>
      <w:r w:rsidR="00B13A4A" w:rsidRPr="00A9262C">
        <w:rPr>
          <w:noProof/>
          <w:lang w:eastAsia="en-GB"/>
        </w:rPr>
        <w:t xml:space="preserve"> and </w:t>
      </w:r>
      <w:bookmarkStart w:id="2" w:name="_Hlk233827588"/>
      <w:r w:rsidR="00757127" w:rsidRPr="00A9262C">
        <w:rPr>
          <w:noProof/>
          <w:lang w:eastAsia="en-GB"/>
        </w:rPr>
        <w:t xml:space="preserve">in order to </w:t>
      </w:r>
      <w:bookmarkEnd w:id="2"/>
      <w:r w:rsidR="00757127" w:rsidRPr="00A9262C">
        <w:rPr>
          <w:noProof/>
          <w:lang w:eastAsia="en-GB"/>
        </w:rPr>
        <w:t>ensure</w:t>
      </w:r>
      <w:r w:rsidR="00B13A4A" w:rsidRPr="00A9262C">
        <w:rPr>
          <w:noProof/>
          <w:lang w:eastAsia="en-GB"/>
        </w:rPr>
        <w:t xml:space="preserve"> </w:t>
      </w:r>
      <w:r w:rsidR="00E51455" w:rsidRPr="00A9262C">
        <w:rPr>
          <w:noProof/>
          <w:lang w:eastAsia="en-GB"/>
        </w:rPr>
        <w:t>adapt</w:t>
      </w:r>
      <w:r w:rsidR="00B13A4A" w:rsidRPr="00A9262C">
        <w:rPr>
          <w:noProof/>
          <w:lang w:eastAsia="en-GB"/>
        </w:rPr>
        <w:t xml:space="preserve">ation </w:t>
      </w:r>
      <w:r w:rsidR="00E51455" w:rsidRPr="00A9262C">
        <w:rPr>
          <w:noProof/>
          <w:lang w:eastAsia="en-GB"/>
        </w:rPr>
        <w:t>to</w:t>
      </w:r>
      <w:r w:rsidR="00B13A4A" w:rsidRPr="00A9262C">
        <w:rPr>
          <w:noProof/>
          <w:lang w:eastAsia="en-GB"/>
        </w:rPr>
        <w:t xml:space="preserve"> its</w:t>
      </w:r>
      <w:r w:rsidR="00E51455" w:rsidRPr="00A9262C">
        <w:rPr>
          <w:noProof/>
          <w:lang w:eastAsia="en-GB"/>
        </w:rPr>
        <w:t xml:space="preserve"> new competences.</w:t>
      </w:r>
      <w:r w:rsidR="00E51455" w:rsidRPr="00A9262C">
        <w:rPr>
          <w:rFonts w:eastAsiaTheme="minorHAnsi" w:cstheme="minorBidi"/>
          <w:noProof/>
          <w:szCs w:val="22"/>
          <w:lang w:eastAsia="en-US"/>
        </w:rPr>
        <w:t xml:space="preserve"> For the first time, a self-regulatory body for the media sector is provided for by law. </w:t>
      </w:r>
      <w:r w:rsidR="00E51455" w:rsidRPr="00A9262C">
        <w:rPr>
          <w:noProof/>
          <w:lang w:eastAsia="en-GB"/>
        </w:rPr>
        <w:t>A new law modernises and strengthens public service media</w:t>
      </w:r>
      <w:r w:rsidR="00673D9C" w:rsidRPr="00A9262C">
        <w:rPr>
          <w:noProof/>
          <w:lang w:eastAsia="en-GB"/>
        </w:rPr>
        <w:t>’s governance</w:t>
      </w:r>
      <w:r w:rsidR="00E51455" w:rsidRPr="00A9262C">
        <w:rPr>
          <w:noProof/>
          <w:lang w:eastAsia="en-GB"/>
        </w:rPr>
        <w:t>, although concerns regarding the latter’s political independence remain.</w:t>
      </w:r>
      <w:r w:rsidR="00E51455" w:rsidRPr="00A9262C">
        <w:rPr>
          <w:rFonts w:eastAsiaTheme="minorHAnsi" w:cstheme="minorBidi"/>
          <w:noProof/>
          <w:szCs w:val="22"/>
          <w:lang w:eastAsia="en-US"/>
        </w:rPr>
        <w:t xml:space="preserve"> </w:t>
      </w:r>
      <w:r w:rsidR="00925F72" w:rsidRPr="00A9262C">
        <w:rPr>
          <w:noProof/>
          <w:szCs w:val="24"/>
        </w:rPr>
        <w:t xml:space="preserve">A new law for the licensing of regional television has been adopted. </w:t>
      </w:r>
      <w:r w:rsidR="00E51455" w:rsidRPr="00A9262C">
        <w:rPr>
          <w:noProof/>
          <w:lang w:eastAsia="en-GB"/>
        </w:rPr>
        <w:t>Transparency of state advertising is further improved with the adoption of legislation and funding measures to support the media sector are planned or have been adopted.</w:t>
      </w:r>
      <w:r w:rsidR="00E51455" w:rsidRPr="00A9262C">
        <w:rPr>
          <w:rFonts w:eastAsiaTheme="minorHAnsi" w:cstheme="minorBidi"/>
          <w:noProof/>
          <w:szCs w:val="22"/>
          <w:lang w:eastAsia="en-US"/>
        </w:rPr>
        <w:t xml:space="preserve"> </w:t>
      </w:r>
      <w:r w:rsidR="00E51455" w:rsidRPr="00A9262C">
        <w:rPr>
          <w:bCs/>
          <w:noProof/>
          <w:lang w:eastAsia="en-GB"/>
        </w:rPr>
        <w:t>New requirements relating to the legal framework on access to information start being applied.</w:t>
      </w:r>
      <w:r w:rsidR="00E51455" w:rsidRPr="00A9262C">
        <w:rPr>
          <w:rFonts w:eastAsiaTheme="minorHAnsi" w:cstheme="minorBidi"/>
          <w:noProof/>
          <w:szCs w:val="22"/>
          <w:lang w:eastAsia="en-US"/>
        </w:rPr>
        <w:t xml:space="preserve"> </w:t>
      </w:r>
      <w:r w:rsidR="00E51455" w:rsidRPr="00A9262C">
        <w:rPr>
          <w:noProof/>
          <w:lang w:eastAsia="en-GB"/>
        </w:rPr>
        <w:t>A</w:t>
      </w:r>
      <w:r w:rsidR="00351609" w:rsidRPr="00A9262C">
        <w:rPr>
          <w:noProof/>
          <w:lang w:eastAsia="en-GB"/>
        </w:rPr>
        <w:t>s provided by law, a</w:t>
      </w:r>
      <w:r w:rsidR="00E51455" w:rsidRPr="00A9262C">
        <w:rPr>
          <w:noProof/>
          <w:lang w:eastAsia="en-GB"/>
        </w:rPr>
        <w:t xml:space="preserve"> national action plan is in preparation to address threats to the safety of journalists.</w:t>
      </w:r>
      <w:r w:rsidR="00E51455" w:rsidRPr="00A9262C">
        <w:rPr>
          <w:rFonts w:eastAsiaTheme="minorHAnsi" w:cstheme="minorBidi"/>
          <w:noProof/>
          <w:szCs w:val="22"/>
          <w:lang w:eastAsia="en-US"/>
        </w:rPr>
        <w:t xml:space="preserve"> </w:t>
      </w:r>
      <w:r w:rsidR="00507EFC" w:rsidRPr="00A9262C">
        <w:rPr>
          <w:rFonts w:eastAsiaTheme="minorHAnsi" w:cstheme="minorBidi"/>
          <w:noProof/>
          <w:szCs w:val="22"/>
          <w:lang w:eastAsia="en-US"/>
        </w:rPr>
        <w:t xml:space="preserve">Additional measures have been </w:t>
      </w:r>
      <w:r w:rsidR="009339D8" w:rsidRPr="00A9262C">
        <w:rPr>
          <w:rFonts w:eastAsiaTheme="minorHAnsi" w:cstheme="minorBidi"/>
          <w:noProof/>
          <w:szCs w:val="22"/>
          <w:lang w:eastAsia="en-US"/>
        </w:rPr>
        <w:t>taken,</w:t>
      </w:r>
      <w:r w:rsidR="00507EFC" w:rsidRPr="00A9262C">
        <w:rPr>
          <w:rFonts w:eastAsiaTheme="minorHAnsi" w:cstheme="minorBidi"/>
          <w:noProof/>
          <w:szCs w:val="22"/>
          <w:lang w:eastAsia="en-US"/>
        </w:rPr>
        <w:t xml:space="preserve"> and further </w:t>
      </w:r>
      <w:r w:rsidR="00507EFC" w:rsidRPr="00A9262C">
        <w:rPr>
          <w:noProof/>
          <w:lang w:eastAsia="en-GB"/>
        </w:rPr>
        <w:t>w</w:t>
      </w:r>
      <w:r w:rsidR="00E51455" w:rsidRPr="00A9262C">
        <w:rPr>
          <w:noProof/>
          <w:lang w:eastAsia="en-GB"/>
        </w:rPr>
        <w:t>ork is ongoing on adopting legislative and non-legislative safeguards to improve the protection of journalists, in particular as regards abusive lawsuits.</w:t>
      </w:r>
    </w:p>
    <w:p w14:paraId="70980864" w14:textId="6C7B40F8" w:rsidR="0053326A" w:rsidRPr="0053326A" w:rsidRDefault="0055565D" w:rsidP="0053326A">
      <w:pPr>
        <w:pBdr>
          <w:top w:val="single" w:sz="4" w:space="1" w:color="auto"/>
          <w:left w:val="single" w:sz="4" w:space="0" w:color="auto"/>
          <w:bottom w:val="single" w:sz="4" w:space="3" w:color="auto"/>
          <w:right w:val="single" w:sz="4" w:space="4" w:color="auto"/>
        </w:pBdr>
        <w:rPr>
          <w:noProof/>
          <w:lang w:eastAsia="en-GB"/>
        </w:rPr>
      </w:pPr>
      <w:r w:rsidRPr="00A9262C">
        <w:rPr>
          <w:bCs/>
          <w:noProof/>
          <w:szCs w:val="22"/>
          <w:lang w:eastAsia="en-GB"/>
        </w:rPr>
        <w:t>The</w:t>
      </w:r>
      <w:r w:rsidR="00317D41" w:rsidRPr="00A9262C">
        <w:rPr>
          <w:bCs/>
          <w:noProof/>
          <w:szCs w:val="22"/>
          <w:lang w:eastAsia="en-GB"/>
        </w:rPr>
        <w:t xml:space="preserve"> constitutional revision process </w:t>
      </w:r>
      <w:r w:rsidR="00A13FD5" w:rsidRPr="00A9262C">
        <w:rPr>
          <w:bCs/>
          <w:noProof/>
          <w:szCs w:val="22"/>
          <w:lang w:eastAsia="en-GB"/>
        </w:rPr>
        <w:t>started</w:t>
      </w:r>
      <w:r w:rsidR="00317D41" w:rsidRPr="00A9262C">
        <w:rPr>
          <w:bCs/>
          <w:noProof/>
          <w:szCs w:val="22"/>
          <w:lang w:eastAsia="en-GB"/>
        </w:rPr>
        <w:t>, touching upon a range of rule of law issues, including judicial independence,</w:t>
      </w:r>
      <w:r w:rsidR="00083D29" w:rsidRPr="00A9262C">
        <w:rPr>
          <w:bCs/>
          <w:noProof/>
          <w:szCs w:val="22"/>
          <w:lang w:eastAsia="en-GB"/>
        </w:rPr>
        <w:t xml:space="preserve"> </w:t>
      </w:r>
      <w:r w:rsidR="00C66D2C">
        <w:rPr>
          <w:bCs/>
          <w:noProof/>
          <w:szCs w:val="22"/>
          <w:lang w:eastAsia="en-GB"/>
        </w:rPr>
        <w:t xml:space="preserve">ministerial immunities, </w:t>
      </w:r>
      <w:r w:rsidR="006B2931" w:rsidRPr="00A9262C">
        <w:rPr>
          <w:bCs/>
          <w:noProof/>
          <w:szCs w:val="22"/>
          <w:lang w:eastAsia="en-GB"/>
        </w:rPr>
        <w:t>protection of journalists and better regulation</w:t>
      </w:r>
      <w:r w:rsidR="009634C5" w:rsidRPr="00A9262C">
        <w:rPr>
          <w:bCs/>
          <w:noProof/>
          <w:szCs w:val="22"/>
          <w:lang w:eastAsia="en-GB"/>
        </w:rPr>
        <w:t>.</w:t>
      </w:r>
      <w:r w:rsidR="00736733" w:rsidRPr="00A9262C">
        <w:rPr>
          <w:bCs/>
          <w:noProof/>
          <w:szCs w:val="22"/>
          <w:lang w:eastAsia="en-GB"/>
        </w:rPr>
        <w:t xml:space="preserve"> </w:t>
      </w:r>
      <w:r w:rsidR="00E51455" w:rsidRPr="00A9262C">
        <w:rPr>
          <w:bCs/>
          <w:noProof/>
          <w:szCs w:val="22"/>
          <w:lang w:eastAsia="en-GB"/>
        </w:rPr>
        <w:t xml:space="preserve">The </w:t>
      </w:r>
      <w:r w:rsidR="00E51455" w:rsidRPr="00A9262C">
        <w:rPr>
          <w:noProof/>
          <w:lang w:eastAsia="en-GB"/>
        </w:rPr>
        <w:t xml:space="preserve">quality </w:t>
      </w:r>
      <w:r w:rsidR="00E51455" w:rsidRPr="00A9262C">
        <w:rPr>
          <w:bCs/>
          <w:noProof/>
          <w:szCs w:val="22"/>
          <w:lang w:eastAsia="en-GB"/>
        </w:rPr>
        <w:t xml:space="preserve">of the legislative process shows improvements, yet challenges persist, including frequent </w:t>
      </w:r>
      <w:r w:rsidR="00E51455" w:rsidRPr="00A9262C">
        <w:rPr>
          <w:noProof/>
          <w:szCs w:val="22"/>
          <w:lang w:eastAsia="en-GB"/>
        </w:rPr>
        <w:t xml:space="preserve">legislative </w:t>
      </w:r>
      <w:r w:rsidR="00E51455" w:rsidRPr="00A9262C">
        <w:rPr>
          <w:bCs/>
          <w:noProof/>
          <w:szCs w:val="22"/>
          <w:lang w:eastAsia="en-GB"/>
        </w:rPr>
        <w:t>change</w:t>
      </w:r>
      <w:r w:rsidR="00E51455" w:rsidRPr="00A9262C">
        <w:rPr>
          <w:noProof/>
          <w:szCs w:val="22"/>
          <w:lang w:eastAsia="en-GB"/>
        </w:rPr>
        <w:t>s</w:t>
      </w:r>
      <w:r w:rsidR="00E51455" w:rsidRPr="00A9262C">
        <w:rPr>
          <w:bCs/>
          <w:noProof/>
          <w:szCs w:val="22"/>
          <w:lang w:eastAsia="en-GB"/>
        </w:rPr>
        <w:t>.</w:t>
      </w:r>
      <w:r w:rsidR="00E51455" w:rsidRPr="00A9262C">
        <w:rPr>
          <w:noProof/>
          <w:lang w:eastAsia="en-GB"/>
        </w:rPr>
        <w:t xml:space="preserve"> Reforms seek to target the administration’s delays in enforcing final judgments.</w:t>
      </w:r>
      <w:r w:rsidR="00E51455" w:rsidRPr="00A9262C">
        <w:rPr>
          <w:rFonts w:eastAsiaTheme="minorHAnsi" w:cstheme="minorBidi"/>
          <w:noProof/>
          <w:szCs w:val="22"/>
          <w:lang w:eastAsia="en-US"/>
        </w:rPr>
        <w:t xml:space="preserve"> </w:t>
      </w:r>
      <w:r w:rsidR="00100D39" w:rsidRPr="00A9262C">
        <w:rPr>
          <w:noProof/>
          <w:lang w:eastAsia="en-GB"/>
        </w:rPr>
        <w:t>The immunity regime for members of Government remains debated, with broad agreement on the need for</w:t>
      </w:r>
      <w:r w:rsidR="00100D39" w:rsidRPr="000275CD">
        <w:rPr>
          <w:noProof/>
          <w:lang w:eastAsia="en-GB"/>
        </w:rPr>
        <w:t xml:space="preserve"> reform. Judicial scrutiny of certain aspects of the use of spyware continues. </w:t>
      </w:r>
      <w:r w:rsidR="00100D39" w:rsidRPr="000275CD">
        <w:rPr>
          <w:rFonts w:eastAsiaTheme="minorHAnsi" w:cstheme="minorBidi"/>
          <w:bCs/>
          <w:noProof/>
          <w:szCs w:val="22"/>
          <w:lang w:eastAsia="en-US"/>
        </w:rPr>
        <w:t>New staff positions have been approved for the Constitutional Independent Authorities, while their request for autonomous staff recruitment has yet to be addressed.</w:t>
      </w:r>
      <w:r w:rsidR="00100D39" w:rsidRPr="000275CD">
        <w:rPr>
          <w:b/>
          <w:bCs/>
          <w:noProof/>
          <w:lang w:eastAsia="en-GB"/>
        </w:rPr>
        <w:t xml:space="preserve"> </w:t>
      </w:r>
      <w:r w:rsidR="00100D39" w:rsidRPr="000275CD">
        <w:rPr>
          <w:noProof/>
          <w:lang w:eastAsia="en-GB"/>
        </w:rPr>
        <w:t xml:space="preserve">While the registration framework remains fragmented, </w:t>
      </w:r>
      <w:r w:rsidR="00100D39">
        <w:rPr>
          <w:noProof/>
          <w:szCs w:val="22"/>
          <w:lang w:eastAsia="fr-FR"/>
        </w:rPr>
        <w:t>further</w:t>
      </w:r>
      <w:r w:rsidR="00100D39" w:rsidRPr="000275CD">
        <w:rPr>
          <w:noProof/>
          <w:szCs w:val="22"/>
          <w:lang w:eastAsia="fr-FR"/>
        </w:rPr>
        <w:t xml:space="preserve"> steps have been taken and the basis for a structured dialogue with civil society has been laid.</w:t>
      </w:r>
      <w:r w:rsidR="00100D39" w:rsidRPr="000275CD">
        <w:rPr>
          <w:noProof/>
          <w:lang w:eastAsia="en-GB"/>
        </w:rPr>
        <w:t xml:space="preserve"> The Council of State is engaging in awareness campaigns to instil a rule of law culture among young people</w:t>
      </w:r>
      <w:r w:rsidR="00E51455" w:rsidRPr="000275CD">
        <w:rPr>
          <w:noProof/>
          <w:lang w:eastAsia="en-GB"/>
        </w:rPr>
        <w:t>.</w:t>
      </w:r>
      <w:r w:rsidR="00E51455" w:rsidRPr="000275CD">
        <w:rPr>
          <w:noProof/>
          <w:lang w:eastAsia="en-GB"/>
        </w:rPr>
        <w:br w:type="page"/>
      </w:r>
    </w:p>
    <w:p w14:paraId="472A43CC" w14:textId="77777777" w:rsidR="00FC54EA" w:rsidRPr="00D16464" w:rsidRDefault="00FC54EA" w:rsidP="00FC54EA">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3" w:name="_Hlk202256986"/>
      <w:r>
        <w:rPr>
          <w:b/>
          <w:smallCaps/>
          <w:noProof/>
          <w:szCs w:val="24"/>
          <w:u w:val="single"/>
          <w:lang w:eastAsia="en-GB"/>
        </w:rPr>
        <w:t xml:space="preserve">Recommendations </w:t>
      </w:r>
    </w:p>
    <w:p w14:paraId="3B77CE30" w14:textId="77777777" w:rsidR="00FC54EA" w:rsidRPr="00D16464" w:rsidRDefault="00FC54EA" w:rsidP="00FC54EA">
      <w:pPr>
        <w:pBdr>
          <w:top w:val="single" w:sz="4" w:space="1" w:color="auto"/>
          <w:left w:val="single" w:sz="4" w:space="4" w:color="auto"/>
          <w:bottom w:val="single" w:sz="4" w:space="17" w:color="auto"/>
          <w:right w:val="single" w:sz="4" w:space="4" w:color="auto"/>
        </w:pBdr>
        <w:spacing w:after="0"/>
        <w:contextualSpacing/>
        <w:rPr>
          <w:noProof/>
          <w:lang w:eastAsia="en-GB"/>
        </w:rPr>
      </w:pPr>
      <w:r>
        <w:rPr>
          <w:noProof/>
          <w:lang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efficiency of the justice system, the Commission concludes the following: </w:t>
      </w:r>
    </w:p>
    <w:p w14:paraId="7E2DE28C" w14:textId="77777777" w:rsidR="00FC54EA" w:rsidRPr="00D16464" w:rsidRDefault="00FC54EA" w:rsidP="00FC54EA">
      <w:pPr>
        <w:pBdr>
          <w:top w:val="single" w:sz="4" w:space="1" w:color="auto"/>
          <w:left w:val="single" w:sz="4" w:space="4" w:color="auto"/>
          <w:bottom w:val="single" w:sz="4" w:space="17" w:color="auto"/>
          <w:right w:val="single" w:sz="4" w:space="4" w:color="auto"/>
        </w:pBdr>
        <w:spacing w:after="0"/>
        <w:contextualSpacing/>
        <w:rPr>
          <w:noProof/>
          <w:lang w:eastAsia="en-GB"/>
        </w:rPr>
      </w:pPr>
    </w:p>
    <w:p w14:paraId="41591044" w14:textId="77777777" w:rsidR="00FC54EA" w:rsidRPr="00D16464" w:rsidRDefault="00FC54EA" w:rsidP="00FC54EA">
      <w:pPr>
        <w:numPr>
          <w:ilvl w:val="0"/>
          <w:numId w:val="25"/>
        </w:numPr>
        <w:pBdr>
          <w:top w:val="single" w:sz="4" w:space="1" w:color="auto"/>
          <w:left w:val="single" w:sz="4" w:space="4" w:color="auto"/>
          <w:bottom w:val="single" w:sz="4" w:space="17" w:color="auto"/>
          <w:right w:val="single" w:sz="4" w:space="4" w:color="auto"/>
        </w:pBdr>
        <w:spacing w:after="200"/>
        <w:contextualSpacing/>
        <w:rPr>
          <w:b/>
          <w:i/>
          <w:noProof/>
          <w:lang w:eastAsia="en-GB"/>
        </w:rPr>
      </w:pPr>
      <w:r>
        <w:rPr>
          <w:rFonts w:eastAsia="Aptos" w:cs="Arial"/>
          <w:noProof/>
        </w:rPr>
        <w:t xml:space="preserve">Limited progress has been made in establishing a robust track record of prosecutions and final judgments in corruption cases, as the legal framework for a digital register of corruption cases has been set up and the register is expected to be operational on 1 January 2027; however, as the number of prosecutions and final judgments in corruption cases, including high-level corruption, remains low, it is recommended to Greece </w:t>
      </w:r>
      <w:r>
        <w:rPr>
          <w:rFonts w:eastAsia="Aptos" w:cs="Arial"/>
          <w:i/>
          <w:noProof/>
        </w:rPr>
        <w:t xml:space="preserve">to continue efforts to establish a robust track record of prosecutions and final judgments in corruption cases, including high-level corruption. </w:t>
      </w:r>
    </w:p>
    <w:p w14:paraId="10D1E0D7" w14:textId="77777777" w:rsidR="00FC54EA" w:rsidRPr="00D16464" w:rsidRDefault="00FC54EA" w:rsidP="00FC54EA">
      <w:pPr>
        <w:numPr>
          <w:ilvl w:val="0"/>
          <w:numId w:val="25"/>
        </w:numPr>
        <w:pBdr>
          <w:top w:val="single" w:sz="4" w:space="1" w:color="auto"/>
          <w:left w:val="single" w:sz="4" w:space="4" w:color="auto"/>
          <w:bottom w:val="single" w:sz="4" w:space="17" w:color="auto"/>
          <w:right w:val="single" w:sz="4" w:space="4" w:color="auto"/>
        </w:pBdr>
        <w:spacing w:after="200"/>
        <w:contextualSpacing/>
        <w:rPr>
          <w:b/>
          <w:i/>
          <w:noProof/>
          <w:lang w:eastAsia="en-GB"/>
        </w:rPr>
      </w:pPr>
      <w:r>
        <w:rPr>
          <w:rFonts w:eastAsia="Aptos" w:cs="Arial"/>
          <w:noProof/>
        </w:rPr>
        <w:t>There has been only limited progress</w:t>
      </w:r>
      <w:r>
        <w:rPr>
          <w:rFonts w:eastAsia="Aptos" w:cs="Arial"/>
          <w:b/>
          <w:bCs/>
          <w:noProof/>
        </w:rPr>
        <w:t xml:space="preserve"> </w:t>
      </w:r>
      <w:r>
        <w:rPr>
          <w:rFonts w:eastAsia="Aptos" w:cs="Arial"/>
          <w:noProof/>
        </w:rPr>
        <w:t xml:space="preserve">in improving the lobbying framework, as no legislation expanding the definition of a lobbyist has been adopted while implementation measures and awareness raising activities are ongoing. Therefore, it is recommended to Greece </w:t>
      </w:r>
      <w:r>
        <w:rPr>
          <w:rFonts w:eastAsia="Aptos" w:cs="Arial"/>
          <w:i/>
          <w:noProof/>
        </w:rPr>
        <w:t>to improve the lobbying framework, including by reviewing the definition of a lobbyist and ensuring effective implementation.</w:t>
      </w:r>
    </w:p>
    <w:p w14:paraId="5EAB4D4E" w14:textId="77777777" w:rsidR="00FC54EA" w:rsidRPr="00D16464" w:rsidRDefault="00FC54EA" w:rsidP="00FC54EA">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lang w:eastAsia="en-GB"/>
        </w:rPr>
      </w:pPr>
      <w:r>
        <w:rPr>
          <w:noProof/>
          <w:lang w:eastAsia="en-GB"/>
        </w:rPr>
        <w:t xml:space="preserve">Some further progress has been made on strengthening legislative and non-legislative safeguards to improve the safety and protection of journalists, in particular as regards abusive lawsuits, as additional measures have been taken and draft anti-SLAPP legislation is being finalised. Therefore, it is recommended to Greece </w:t>
      </w:r>
      <w:r>
        <w:rPr>
          <w:i/>
          <w:noProof/>
          <w:lang w:eastAsia="en-GB"/>
        </w:rPr>
        <w:t>to complete the work on strengthening legislative and non-legislative safeguards to improve the safety and protection of journalists, in particular as regards abusive lawsuits, in line with the adopted Memorandum of Understanding and taking into account European standards on the protection of journalists</w:t>
      </w:r>
      <w:r>
        <w:rPr>
          <w:noProof/>
          <w:lang w:eastAsia="en-GB"/>
        </w:rPr>
        <w:t xml:space="preserve">. </w:t>
      </w:r>
    </w:p>
    <w:p w14:paraId="6CC181D3" w14:textId="77777777" w:rsidR="00FC54EA" w:rsidRPr="00D16464" w:rsidRDefault="00FC54EA" w:rsidP="00FC54EA">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szCs w:val="24"/>
          <w:lang w:eastAsia="en-GB"/>
        </w:rPr>
      </w:pPr>
      <w:r>
        <w:rPr>
          <w:rFonts w:eastAsia="Aptos" w:cs="Arial"/>
          <w:noProof/>
          <w:szCs w:val="24"/>
        </w:rPr>
        <w:t xml:space="preserve">Some further progress has been made in developing a structured dialogue with civil society organisations (CSOs), and in simplifying registration requirements in view of maintaining an open framework for them to operate, given that the framework for a structured dialogue with CSOs has been laid and some steps have been taken to reduce documentation requirements and streamlining procedures. Since the structured dialogue is yet to become regular and sustained and the registration framework remains fragmented, </w:t>
      </w:r>
      <w:r>
        <w:rPr>
          <w:noProof/>
          <w:szCs w:val="24"/>
        </w:rPr>
        <w:t xml:space="preserve">it is recommended to Greece </w:t>
      </w:r>
      <w:r>
        <w:rPr>
          <w:i/>
          <w:noProof/>
          <w:szCs w:val="24"/>
        </w:rPr>
        <w:t>to</w:t>
      </w:r>
      <w:r>
        <w:rPr>
          <w:b/>
          <w:i/>
          <w:noProof/>
          <w:szCs w:val="24"/>
        </w:rPr>
        <w:t xml:space="preserve"> </w:t>
      </w:r>
      <w:r>
        <w:rPr>
          <w:i/>
          <w:noProof/>
          <w:szCs w:val="24"/>
        </w:rPr>
        <w:t>intensify efforts to consolidate a regular and sustained structured dialogue with CSOs, and to simplify registration requirements in view of maintaining an open framework for them to operate</w:t>
      </w:r>
      <w:r>
        <w:rPr>
          <w:noProof/>
          <w:szCs w:val="24"/>
        </w:rPr>
        <w:t>.</w:t>
      </w:r>
    </w:p>
    <w:bookmarkEnd w:id="3"/>
    <w:p w14:paraId="5DBC929E" w14:textId="4875F5F9" w:rsidR="0053326A" w:rsidRDefault="0053326A">
      <w:pPr>
        <w:spacing w:after="0"/>
        <w:jc w:val="left"/>
        <w:rPr>
          <w:rFonts w:eastAsiaTheme="minorHAnsi" w:cstheme="minorBidi"/>
          <w:b/>
          <w:smallCaps/>
          <w:noProof/>
          <w:szCs w:val="24"/>
          <w:u w:val="single"/>
          <w:lang w:val="en-US" w:eastAsia="fr-FR"/>
        </w:rPr>
      </w:pPr>
      <w:r>
        <w:rPr>
          <w:b/>
          <w:smallCaps/>
          <w:noProof/>
          <w:szCs w:val="24"/>
          <w:u w:val="single"/>
          <w:lang w:eastAsia="fr-FR"/>
        </w:rPr>
        <w:br w:type="page"/>
      </w:r>
    </w:p>
    <w:p w14:paraId="1386E6C8" w14:textId="4554ED94" w:rsidR="00E51455" w:rsidRPr="0053326A" w:rsidRDefault="00E51455" w:rsidP="008D3E3F">
      <w:pPr>
        <w:pStyle w:val="ListParagraph"/>
        <w:keepNext/>
        <w:numPr>
          <w:ilvl w:val="0"/>
          <w:numId w:val="27"/>
        </w:numPr>
        <w:outlineLvl w:val="0"/>
        <w:rPr>
          <w:b/>
          <w:smallCaps/>
          <w:noProof/>
          <w:szCs w:val="24"/>
          <w:u w:val="single"/>
          <w:lang w:val="en-IE" w:eastAsia="fr-FR"/>
        </w:rPr>
      </w:pPr>
      <w:r w:rsidRPr="0053326A">
        <w:rPr>
          <w:b/>
          <w:smallCaps/>
          <w:noProof/>
          <w:szCs w:val="24"/>
          <w:u w:val="single"/>
          <w:lang w:eastAsia="fr-FR"/>
        </w:rPr>
        <w:t>Justice System</w:t>
      </w:r>
      <w:r w:rsidRPr="000275CD">
        <w:rPr>
          <w:noProof/>
          <w:vertAlign w:val="superscript"/>
        </w:rPr>
        <w:footnoteReference w:id="1"/>
      </w:r>
      <w:r w:rsidRPr="0053326A">
        <w:rPr>
          <w:bCs/>
          <w:smallCaps/>
          <w:noProof/>
          <w:lang w:eastAsia="fr-FR"/>
        </w:rPr>
        <w:t xml:space="preserve"> </w:t>
      </w:r>
    </w:p>
    <w:p w14:paraId="39504346" w14:textId="77777777" w:rsidR="00E51455" w:rsidRPr="000275CD" w:rsidRDefault="00E51455" w:rsidP="00E51455">
      <w:pPr>
        <w:keepNext/>
        <w:outlineLvl w:val="1"/>
        <w:rPr>
          <w:b/>
          <w:noProof/>
          <w:szCs w:val="24"/>
          <w:lang w:eastAsia="en-GB"/>
        </w:rPr>
      </w:pPr>
      <w:r w:rsidRPr="000275CD">
        <w:rPr>
          <w:b/>
          <w:noProof/>
          <w:szCs w:val="24"/>
          <w:lang w:eastAsia="en-GB"/>
        </w:rPr>
        <w:t xml:space="preserve">Independence </w:t>
      </w:r>
    </w:p>
    <w:p w14:paraId="5731AC3F" w14:textId="77777777" w:rsidR="00E51455" w:rsidRPr="000275CD" w:rsidRDefault="00E51455" w:rsidP="00E51455">
      <w:pPr>
        <w:rPr>
          <w:noProof/>
          <w:lang w:eastAsia="fr-FR"/>
        </w:rPr>
      </w:pPr>
      <w:r w:rsidRPr="000275CD">
        <w:rPr>
          <w:b/>
          <w:noProof/>
          <w:lang w:eastAsia="fr-FR"/>
        </w:rPr>
        <w:t xml:space="preserve">The level of perceived judicial independence in Greece is now average among the general public and low among companies. </w:t>
      </w:r>
      <w:r w:rsidRPr="000275CD">
        <w:rPr>
          <w:noProof/>
          <w:lang w:eastAsia="fr-FR"/>
        </w:rPr>
        <w:t>Overall, 43% of the general population and 33% of companies perceive the level of independence of courts and judges to be ‘fairly or very good’ in 2026</w:t>
      </w:r>
      <w:r w:rsidRPr="000275CD">
        <w:rPr>
          <w:noProof/>
          <w:vertAlign w:val="superscript"/>
          <w:lang w:eastAsia="fr-FR"/>
        </w:rPr>
        <w:footnoteReference w:id="2"/>
      </w:r>
      <w:r w:rsidRPr="000275CD">
        <w:rPr>
          <w:noProof/>
          <w:lang w:eastAsia="fr-FR"/>
        </w:rPr>
        <w:t xml:space="preserve">. The perceived judicial independence among the general public has increased in comparison with 2025 (38%) and has significantly decreased in comparison with 2022 (53%). The perceived judicial independence among companies has significantly decreased in comparison with 2025 (49%), as well as in comparison with 2022 (59%). </w:t>
      </w:r>
    </w:p>
    <w:p w14:paraId="27A9C23B" w14:textId="118B12BF" w:rsidR="00E51455" w:rsidRPr="000275CD" w:rsidRDefault="00E51455" w:rsidP="00E51455">
      <w:pPr>
        <w:rPr>
          <w:noProof/>
          <w:szCs w:val="22"/>
          <w:lang w:eastAsia="fr-FR"/>
        </w:rPr>
      </w:pPr>
      <w:bookmarkStart w:id="4" w:name="_Hlk227701356"/>
      <w:r w:rsidRPr="000275CD">
        <w:rPr>
          <w:b/>
          <w:bCs/>
          <w:noProof/>
          <w:szCs w:val="22"/>
          <w:lang w:eastAsia="fr-FR"/>
        </w:rPr>
        <w:t xml:space="preserve">Appointments to the highest positions in the court system were made under the new legal framework with the involvement of the judiciary. </w:t>
      </w:r>
      <w:r w:rsidRPr="000275CD">
        <w:rPr>
          <w:noProof/>
          <w:szCs w:val="22"/>
          <w:lang w:eastAsia="fr-FR"/>
        </w:rPr>
        <w:t>Building on the significant reform of 2024</w:t>
      </w:r>
      <w:r w:rsidRPr="000275CD">
        <w:rPr>
          <w:noProof/>
          <w:szCs w:val="22"/>
          <w:vertAlign w:val="superscript"/>
          <w:lang w:eastAsia="fr-FR"/>
        </w:rPr>
        <w:footnoteReference w:id="3"/>
      </w:r>
      <w:r w:rsidRPr="000275CD">
        <w:rPr>
          <w:noProof/>
          <w:szCs w:val="22"/>
          <w:lang w:eastAsia="fr-FR"/>
        </w:rPr>
        <w:t xml:space="preserve">, the Government </w:t>
      </w:r>
      <w:r w:rsidRPr="00EE6A6B">
        <w:rPr>
          <w:noProof/>
          <w:szCs w:val="22"/>
          <w:lang w:eastAsia="fr-FR"/>
        </w:rPr>
        <w:t>appointed</w:t>
      </w:r>
      <w:r w:rsidR="00931DAF" w:rsidRPr="00EE6A6B">
        <w:rPr>
          <w:noProof/>
          <w:szCs w:val="22"/>
          <w:lang w:eastAsia="fr-FR"/>
        </w:rPr>
        <w:t>, in 2025,</w:t>
      </w:r>
      <w:r w:rsidRPr="00EE6A6B">
        <w:rPr>
          <w:noProof/>
          <w:szCs w:val="22"/>
          <w:lang w:eastAsia="fr-FR"/>
        </w:rPr>
        <w:t xml:space="preserve"> four</w:t>
      </w:r>
      <w:r w:rsidRPr="000275CD">
        <w:rPr>
          <w:noProof/>
          <w:szCs w:val="22"/>
          <w:lang w:eastAsia="fr-FR"/>
        </w:rPr>
        <w:t xml:space="preserve"> vice-presidents of the Council of State, a vice-president of the Court of Audit, the Prosecutor General of the Supreme Court as well as eight Supreme Court vice-presidents. These appointments were largely welcomed by the judiciary</w:t>
      </w:r>
      <w:r w:rsidRPr="000275CD">
        <w:rPr>
          <w:noProof/>
          <w:szCs w:val="22"/>
          <w:vertAlign w:val="superscript"/>
          <w:lang w:eastAsia="fr-FR"/>
        </w:rPr>
        <w:footnoteReference w:id="4"/>
      </w:r>
      <w:r w:rsidRPr="000275CD">
        <w:rPr>
          <w:noProof/>
          <w:szCs w:val="22"/>
          <w:lang w:eastAsia="fr-FR"/>
        </w:rPr>
        <w:t xml:space="preserve">. </w:t>
      </w:r>
      <w:r w:rsidR="004211E0">
        <w:rPr>
          <w:noProof/>
          <w:szCs w:val="22"/>
          <w:lang w:eastAsia="fr-FR"/>
        </w:rPr>
        <w:t xml:space="preserve">In June 2026, </w:t>
      </w:r>
      <w:r w:rsidR="0087411F">
        <w:rPr>
          <w:noProof/>
          <w:szCs w:val="22"/>
          <w:lang w:eastAsia="fr-FR"/>
        </w:rPr>
        <w:t xml:space="preserve">the </w:t>
      </w:r>
      <w:r w:rsidR="00DF11D6">
        <w:rPr>
          <w:noProof/>
          <w:szCs w:val="22"/>
          <w:lang w:eastAsia="fr-FR"/>
        </w:rPr>
        <w:t xml:space="preserve">administrative plenaries of the three </w:t>
      </w:r>
      <w:r w:rsidR="005D194A">
        <w:rPr>
          <w:noProof/>
          <w:szCs w:val="22"/>
          <w:lang w:eastAsia="fr-FR"/>
        </w:rPr>
        <w:t xml:space="preserve">highest courts </w:t>
      </w:r>
      <w:r w:rsidR="00C3546D">
        <w:rPr>
          <w:noProof/>
          <w:szCs w:val="22"/>
          <w:lang w:eastAsia="fr-FR"/>
        </w:rPr>
        <w:t>conducted</w:t>
      </w:r>
      <w:r w:rsidR="005D194A">
        <w:rPr>
          <w:noProof/>
          <w:szCs w:val="22"/>
          <w:lang w:eastAsia="fr-FR"/>
        </w:rPr>
        <w:t xml:space="preserve"> </w:t>
      </w:r>
      <w:r w:rsidR="00F01CAE">
        <w:rPr>
          <w:noProof/>
          <w:szCs w:val="22"/>
          <w:lang w:eastAsia="fr-FR"/>
        </w:rPr>
        <w:t>for the second time</w:t>
      </w:r>
      <w:r w:rsidR="001B4E15">
        <w:rPr>
          <w:noProof/>
          <w:szCs w:val="22"/>
          <w:lang w:eastAsia="fr-FR"/>
        </w:rPr>
        <w:t xml:space="preserve"> </w:t>
      </w:r>
      <w:r w:rsidR="00B13BA5">
        <w:rPr>
          <w:noProof/>
          <w:szCs w:val="22"/>
          <w:lang w:eastAsia="fr-FR"/>
        </w:rPr>
        <w:t>the</w:t>
      </w:r>
      <w:r w:rsidR="00FE7AF6">
        <w:rPr>
          <w:noProof/>
          <w:szCs w:val="22"/>
          <w:lang w:eastAsia="fr-FR"/>
        </w:rPr>
        <w:t xml:space="preserve"> consultative procedure</w:t>
      </w:r>
      <w:r w:rsidR="00066F65" w:rsidDel="00FE7AF6">
        <w:rPr>
          <w:noProof/>
          <w:szCs w:val="22"/>
          <w:lang w:eastAsia="fr-FR"/>
        </w:rPr>
        <w:t xml:space="preserve"> </w:t>
      </w:r>
      <w:r w:rsidR="005D194A">
        <w:rPr>
          <w:noProof/>
          <w:szCs w:val="22"/>
          <w:lang w:eastAsia="fr-FR"/>
        </w:rPr>
        <w:t>for further appointments</w:t>
      </w:r>
      <w:r w:rsidR="005D194A">
        <w:rPr>
          <w:rStyle w:val="FootnoteReference"/>
          <w:noProof/>
          <w:szCs w:val="22"/>
          <w:lang w:eastAsia="fr-FR"/>
        </w:rPr>
        <w:footnoteReference w:id="5"/>
      </w:r>
      <w:r w:rsidR="005D194A">
        <w:rPr>
          <w:noProof/>
          <w:szCs w:val="22"/>
          <w:lang w:eastAsia="fr-FR"/>
        </w:rPr>
        <w:t>.</w:t>
      </w:r>
      <w:r w:rsidR="005C174F">
        <w:rPr>
          <w:noProof/>
          <w:szCs w:val="22"/>
          <w:lang w:eastAsia="fr-FR"/>
        </w:rPr>
        <w:t xml:space="preserve"> </w:t>
      </w:r>
      <w:r w:rsidR="003D6843" w:rsidRPr="00E444D5">
        <w:rPr>
          <w:noProof/>
          <w:szCs w:val="22"/>
          <w:lang w:eastAsia="fr-FR"/>
        </w:rPr>
        <w:t>T</w:t>
      </w:r>
      <w:r w:rsidR="005C174F" w:rsidRPr="00E444D5">
        <w:rPr>
          <w:noProof/>
          <w:szCs w:val="22"/>
          <w:lang w:eastAsia="fr-FR"/>
        </w:rPr>
        <w:t xml:space="preserve">he </w:t>
      </w:r>
      <w:r w:rsidR="004A2699" w:rsidRPr="00E444D5">
        <w:rPr>
          <w:noProof/>
          <w:szCs w:val="22"/>
          <w:lang w:eastAsia="fr-FR"/>
        </w:rPr>
        <w:t>G</w:t>
      </w:r>
      <w:r w:rsidR="00F75BA5" w:rsidRPr="00E444D5">
        <w:rPr>
          <w:noProof/>
          <w:szCs w:val="22"/>
          <w:lang w:eastAsia="fr-FR"/>
        </w:rPr>
        <w:t xml:space="preserve">overnment </w:t>
      </w:r>
      <w:r w:rsidR="00931DAF" w:rsidRPr="00E444D5">
        <w:rPr>
          <w:noProof/>
          <w:szCs w:val="22"/>
          <w:lang w:eastAsia="fr-FR"/>
        </w:rPr>
        <w:t>appointed the candidates who came first in the judiciary</w:t>
      </w:r>
      <w:r w:rsidR="001B4E15" w:rsidRPr="00E444D5">
        <w:rPr>
          <w:noProof/>
          <w:szCs w:val="22"/>
          <w:lang w:eastAsia="fr-FR"/>
        </w:rPr>
        <w:t>’</w:t>
      </w:r>
      <w:r w:rsidR="00931DAF" w:rsidRPr="00E444D5">
        <w:rPr>
          <w:noProof/>
          <w:szCs w:val="22"/>
          <w:lang w:eastAsia="fr-FR"/>
        </w:rPr>
        <w:t>s vote as the new President of the Supreme Court and the new Prosecutor General.</w:t>
      </w:r>
      <w:r w:rsidR="0087411F" w:rsidRPr="00E444D5">
        <w:rPr>
          <w:noProof/>
          <w:szCs w:val="22"/>
          <w:lang w:eastAsia="fr-FR"/>
        </w:rPr>
        <w:t xml:space="preserve"> </w:t>
      </w:r>
      <w:r w:rsidRPr="00E444D5">
        <w:rPr>
          <w:noProof/>
          <w:szCs w:val="22"/>
          <w:lang w:eastAsia="fr-FR"/>
        </w:rPr>
        <w:t>There</w:t>
      </w:r>
      <w:r w:rsidRPr="000275CD">
        <w:rPr>
          <w:noProof/>
          <w:szCs w:val="22"/>
          <w:lang w:eastAsia="fr-FR"/>
        </w:rPr>
        <w:t xml:space="preserve"> is broad consensus among the judiciary, lawyers and political parties that the legal framework for the appointment of the judiciary should be further revised in the context of the constitutional revision, to help improve public trust</w:t>
      </w:r>
      <w:r w:rsidRPr="000275CD">
        <w:rPr>
          <w:noProof/>
          <w:szCs w:val="22"/>
          <w:vertAlign w:val="superscript"/>
          <w:lang w:eastAsia="fr-FR"/>
        </w:rPr>
        <w:footnoteReference w:id="6"/>
      </w:r>
      <w:r w:rsidRPr="000275CD">
        <w:rPr>
          <w:noProof/>
          <w:szCs w:val="22"/>
          <w:lang w:eastAsia="fr-FR"/>
        </w:rPr>
        <w:t xml:space="preserve">. According to the proposal submitted </w:t>
      </w:r>
      <w:r w:rsidRPr="00CD356D">
        <w:rPr>
          <w:noProof/>
          <w:szCs w:val="22"/>
          <w:lang w:eastAsia="fr-FR"/>
        </w:rPr>
        <w:t xml:space="preserve">to Parliament in June 2026 by the ruling majority, </w:t>
      </w:r>
      <w:r w:rsidR="00ED2654" w:rsidRPr="00CD356D">
        <w:rPr>
          <w:noProof/>
          <w:szCs w:val="22"/>
          <w:lang w:eastAsia="fr-FR"/>
        </w:rPr>
        <w:t xml:space="preserve">the decision-making power will be transferred from the executive to </w:t>
      </w:r>
      <w:r w:rsidRPr="00CD356D">
        <w:rPr>
          <w:noProof/>
          <w:szCs w:val="22"/>
          <w:lang w:eastAsia="fr-FR"/>
        </w:rPr>
        <w:t>a parliamentary committee</w:t>
      </w:r>
      <w:r w:rsidR="00245AED" w:rsidRPr="00CD356D">
        <w:rPr>
          <w:noProof/>
          <w:szCs w:val="22"/>
          <w:lang w:eastAsia="fr-FR"/>
        </w:rPr>
        <w:t>, which</w:t>
      </w:r>
      <w:r w:rsidRPr="00CD356D">
        <w:rPr>
          <w:noProof/>
          <w:szCs w:val="22"/>
          <w:lang w:eastAsia="fr-FR"/>
        </w:rPr>
        <w:t xml:space="preserve"> would appoint</w:t>
      </w:r>
      <w:r w:rsidR="00245AED" w:rsidRPr="00CD356D">
        <w:rPr>
          <w:noProof/>
          <w:szCs w:val="22"/>
          <w:lang w:eastAsia="fr-FR"/>
        </w:rPr>
        <w:t>, with increased majorities,</w:t>
      </w:r>
      <w:r w:rsidRPr="00CD356D">
        <w:rPr>
          <w:noProof/>
          <w:szCs w:val="22"/>
          <w:lang w:eastAsia="fr-FR"/>
        </w:rPr>
        <w:t xml:space="preserve"> one of the three candidates nominated by the judiciary. </w:t>
      </w:r>
      <w:r w:rsidR="0011730B" w:rsidRPr="00CD356D">
        <w:rPr>
          <w:noProof/>
          <w:szCs w:val="22"/>
          <w:lang w:eastAsia="fr-FR"/>
        </w:rPr>
        <w:t xml:space="preserve">The Court of Audit and judicial associations </w:t>
      </w:r>
      <w:r w:rsidR="0069502B" w:rsidRPr="00CD356D">
        <w:rPr>
          <w:noProof/>
          <w:szCs w:val="22"/>
          <w:lang w:eastAsia="fr-FR"/>
        </w:rPr>
        <w:t>proposed that the</w:t>
      </w:r>
      <w:r w:rsidRPr="00CD356D">
        <w:rPr>
          <w:noProof/>
          <w:szCs w:val="22"/>
          <w:lang w:eastAsia="fr-FR"/>
        </w:rPr>
        <w:t xml:space="preserve"> Parliament select candidates from a judiciary-vetted shortlist using transparent criteria as well as setting term limits for the vice-presidents</w:t>
      </w:r>
      <w:r w:rsidRPr="00CD356D">
        <w:rPr>
          <w:noProof/>
          <w:szCs w:val="22"/>
          <w:vertAlign w:val="superscript"/>
          <w:lang w:eastAsia="fr-FR"/>
        </w:rPr>
        <w:footnoteReference w:id="7"/>
      </w:r>
      <w:r w:rsidRPr="00CD356D">
        <w:rPr>
          <w:noProof/>
          <w:szCs w:val="22"/>
          <w:lang w:eastAsia="fr-FR"/>
        </w:rPr>
        <w:t xml:space="preserve">. </w:t>
      </w:r>
      <w:r w:rsidR="002566D8" w:rsidRPr="00CD356D">
        <w:rPr>
          <w:noProof/>
          <w:szCs w:val="22"/>
          <w:lang w:eastAsia="fr-FR"/>
        </w:rPr>
        <w:t xml:space="preserve">The </w:t>
      </w:r>
      <w:r w:rsidR="002566D8" w:rsidRPr="00CD356D">
        <w:rPr>
          <w:noProof/>
        </w:rPr>
        <w:t>Council of State proposes</w:t>
      </w:r>
      <w:r w:rsidR="000510D9" w:rsidRPr="00CD356D">
        <w:rPr>
          <w:noProof/>
        </w:rPr>
        <w:t xml:space="preserve"> to</w:t>
      </w:r>
      <w:r w:rsidR="002566D8" w:rsidRPr="00CD356D">
        <w:rPr>
          <w:noProof/>
        </w:rPr>
        <w:t xml:space="preserve"> </w:t>
      </w:r>
      <w:r w:rsidR="002225C3" w:rsidRPr="00CD356D">
        <w:rPr>
          <w:noProof/>
        </w:rPr>
        <w:t>improve</w:t>
      </w:r>
      <w:r w:rsidR="002566D8" w:rsidRPr="00CD356D">
        <w:rPr>
          <w:noProof/>
        </w:rPr>
        <w:t xml:space="preserve"> the </w:t>
      </w:r>
      <w:r w:rsidR="002225C3" w:rsidRPr="00CD356D">
        <w:rPr>
          <w:noProof/>
        </w:rPr>
        <w:t>existing</w:t>
      </w:r>
      <w:r w:rsidR="002566D8" w:rsidRPr="00CD356D">
        <w:rPr>
          <w:noProof/>
        </w:rPr>
        <w:t xml:space="preserve"> system</w:t>
      </w:r>
      <w:r w:rsidR="00DD3A46" w:rsidRPr="00CD356D">
        <w:rPr>
          <w:noProof/>
        </w:rPr>
        <w:t xml:space="preserve"> </w:t>
      </w:r>
      <w:r w:rsidR="00C1705B" w:rsidRPr="00CD356D">
        <w:rPr>
          <w:noProof/>
        </w:rPr>
        <w:t>by</w:t>
      </w:r>
      <w:r w:rsidR="002566D8" w:rsidRPr="00CD356D">
        <w:rPr>
          <w:noProof/>
        </w:rPr>
        <w:t xml:space="preserve"> making the</w:t>
      </w:r>
      <w:r w:rsidR="000510D9" w:rsidRPr="00CD356D">
        <w:rPr>
          <w:noProof/>
        </w:rPr>
        <w:t xml:space="preserve"> opinion expressed by the judiciary binding upon the </w:t>
      </w:r>
      <w:r w:rsidR="00FF4964" w:rsidRPr="00CD356D">
        <w:rPr>
          <w:noProof/>
        </w:rPr>
        <w:t>executive</w:t>
      </w:r>
      <w:r w:rsidR="00FF4964" w:rsidRPr="00CD356D">
        <w:rPr>
          <w:rStyle w:val="FootnoteReference"/>
          <w:noProof/>
        </w:rPr>
        <w:footnoteReference w:id="8"/>
      </w:r>
      <w:r w:rsidR="00FF4964" w:rsidRPr="00CD356D">
        <w:rPr>
          <w:noProof/>
        </w:rPr>
        <w:t>.</w:t>
      </w:r>
    </w:p>
    <w:bookmarkEnd w:id="4"/>
    <w:p w14:paraId="368D2701" w14:textId="77777777" w:rsidR="00E51455" w:rsidRPr="000275CD" w:rsidRDefault="00E51455" w:rsidP="00E51455">
      <w:pPr>
        <w:rPr>
          <w:noProof/>
          <w:szCs w:val="22"/>
          <w:lang w:eastAsia="fr-FR"/>
        </w:rPr>
      </w:pPr>
      <w:r w:rsidRPr="000275CD">
        <w:rPr>
          <w:b/>
          <w:noProof/>
          <w:szCs w:val="22"/>
          <w:lang w:eastAsia="fr-FR"/>
        </w:rPr>
        <w:t>Initiatives to restore trust in the justice system, including a post-retirement cooling-off period for judges, continue to be discussed.</w:t>
      </w:r>
      <w:r w:rsidRPr="000275CD">
        <w:rPr>
          <w:noProof/>
          <w:szCs w:val="22"/>
          <w:lang w:eastAsia="fr-FR"/>
        </w:rPr>
        <w:t xml:space="preserve"> The Government is reflecting on a legislative framework for post-retirement activities for judges based on objective and transparent criteria and has proposed to introduce a three-year cooling off period in the forthcoming constitutional revision</w:t>
      </w:r>
      <w:r w:rsidRPr="000275CD">
        <w:rPr>
          <w:noProof/>
          <w:szCs w:val="22"/>
          <w:vertAlign w:val="superscript"/>
          <w:lang w:eastAsia="fr-FR"/>
        </w:rPr>
        <w:footnoteReference w:id="9"/>
      </w:r>
      <w:r w:rsidRPr="000275CD">
        <w:rPr>
          <w:noProof/>
          <w:szCs w:val="22"/>
          <w:lang w:eastAsia="fr-FR"/>
        </w:rPr>
        <w:t>. The judiciary</w:t>
      </w:r>
      <w:r w:rsidRPr="000275CD">
        <w:rPr>
          <w:noProof/>
          <w:szCs w:val="22"/>
        </w:rPr>
        <w:t xml:space="preserve"> </w:t>
      </w:r>
      <w:r w:rsidRPr="000275CD">
        <w:rPr>
          <w:noProof/>
          <w:szCs w:val="22"/>
          <w:lang w:eastAsia="fr-FR"/>
        </w:rPr>
        <w:t>supports a cooling-off period as key to rebuilding public trust</w:t>
      </w:r>
      <w:r w:rsidRPr="000275CD">
        <w:rPr>
          <w:noProof/>
          <w:szCs w:val="22"/>
          <w:vertAlign w:val="superscript"/>
          <w:lang w:eastAsia="fr-FR"/>
        </w:rPr>
        <w:footnoteReference w:id="10"/>
      </w:r>
      <w:r w:rsidRPr="000275CD">
        <w:rPr>
          <w:noProof/>
          <w:szCs w:val="22"/>
          <w:lang w:eastAsia="fr-FR"/>
        </w:rPr>
        <w:t>. In this context, the Plenary of the Council of State has proposed that retired judges should not be able to assume duties incompatible with their former judicial status for a two-year period. The Court of Audit, in turn, advocates for a four-year restriction, a view also shared by the Bar Associations</w:t>
      </w:r>
      <w:r w:rsidRPr="000275CD">
        <w:rPr>
          <w:noProof/>
          <w:szCs w:val="22"/>
          <w:vertAlign w:val="superscript"/>
          <w:lang w:eastAsia="fr-FR"/>
        </w:rPr>
        <w:footnoteReference w:id="11"/>
      </w:r>
      <w:r w:rsidRPr="000275CD">
        <w:rPr>
          <w:noProof/>
          <w:szCs w:val="22"/>
          <w:lang w:eastAsia="fr-FR"/>
        </w:rPr>
        <w:t xml:space="preserve">. </w:t>
      </w:r>
    </w:p>
    <w:p w14:paraId="601E1579" w14:textId="77777777" w:rsidR="00E51455" w:rsidRPr="000275CD" w:rsidRDefault="00E51455" w:rsidP="00E51455">
      <w:pPr>
        <w:rPr>
          <w:noProof/>
          <w:szCs w:val="22"/>
          <w:lang w:eastAsia="fr-FR"/>
        </w:rPr>
      </w:pPr>
      <w:r w:rsidRPr="000275CD">
        <w:rPr>
          <w:b/>
          <w:bCs/>
          <w:noProof/>
          <w:szCs w:val="22"/>
          <w:lang w:eastAsia="fr-FR"/>
        </w:rPr>
        <w:t>Reforming the Code of Lawyers remains a priority for the legal profession</w:t>
      </w:r>
      <w:r w:rsidRPr="000275CD">
        <w:rPr>
          <w:noProof/>
          <w:szCs w:val="22"/>
          <w:lang w:eastAsia="fr-FR"/>
        </w:rPr>
        <w:t>. The working group established by the Ministry of Justice in 2024 continues its work, focusing on the traineeship of law graduates, the examination system for trainee lawyers, and measures to improve the efficiency and quality of legal practice</w:t>
      </w:r>
      <w:r w:rsidRPr="000275CD">
        <w:rPr>
          <w:noProof/>
          <w:szCs w:val="22"/>
          <w:vertAlign w:val="superscript"/>
          <w:lang w:eastAsia="fr-FR"/>
        </w:rPr>
        <w:footnoteReference w:id="12"/>
      </w:r>
      <w:r w:rsidRPr="000275CD">
        <w:rPr>
          <w:noProof/>
          <w:szCs w:val="22"/>
          <w:lang w:eastAsia="fr-FR"/>
        </w:rPr>
        <w:t>. For lawyers, reforms are felt to be urgently needed, focusing on compensation, employment rights, and updated professional and ethical standards, while ensuring that admission, career progression and disciplinary matters remain exclusively under the control of Bar Associations</w:t>
      </w:r>
      <w:r w:rsidRPr="000275CD">
        <w:rPr>
          <w:noProof/>
          <w:szCs w:val="22"/>
          <w:vertAlign w:val="superscript"/>
          <w:lang w:eastAsia="fr-FR"/>
        </w:rPr>
        <w:footnoteReference w:id="13"/>
      </w:r>
      <w:r w:rsidRPr="000275CD">
        <w:rPr>
          <w:noProof/>
          <w:szCs w:val="22"/>
          <w:lang w:eastAsia="fr-FR"/>
        </w:rPr>
        <w:t>. The Association of judges and prosecutors proposed amending the legal framework to provide sanctions for lawyer misconduct during court hearings</w:t>
      </w:r>
      <w:r w:rsidRPr="000275CD">
        <w:rPr>
          <w:noProof/>
          <w:vertAlign w:val="superscript"/>
          <w:lang w:eastAsia="fr-FR"/>
        </w:rPr>
        <w:footnoteReference w:id="14"/>
      </w:r>
      <w:r w:rsidRPr="000275CD">
        <w:rPr>
          <w:noProof/>
          <w:szCs w:val="22"/>
          <w:lang w:eastAsia="fr-FR"/>
        </w:rPr>
        <w:t>. The proposal was met with strong opposition from lawyers, who consider that such a move would transfer disciplinary proceedings from Bar Association bodies to the courts, thereby violating the principle of professional self-regulation</w:t>
      </w:r>
      <w:r w:rsidRPr="000275CD">
        <w:rPr>
          <w:noProof/>
          <w:szCs w:val="22"/>
          <w:vertAlign w:val="superscript"/>
          <w:lang w:eastAsia="fr-FR"/>
        </w:rPr>
        <w:footnoteReference w:id="15"/>
      </w:r>
      <w:r w:rsidRPr="000275CD">
        <w:rPr>
          <w:noProof/>
          <w:szCs w:val="22"/>
          <w:lang w:eastAsia="fr-FR"/>
        </w:rPr>
        <w:t xml:space="preserve">. </w:t>
      </w:r>
    </w:p>
    <w:p w14:paraId="7D2AA110" w14:textId="77777777" w:rsidR="00E51455" w:rsidRPr="000275CD" w:rsidRDefault="00E51455" w:rsidP="00E51455">
      <w:pPr>
        <w:keepNext/>
        <w:outlineLvl w:val="1"/>
        <w:rPr>
          <w:b/>
          <w:noProof/>
          <w:szCs w:val="24"/>
          <w:lang w:eastAsia="en-GB"/>
        </w:rPr>
      </w:pPr>
      <w:r w:rsidRPr="000275CD">
        <w:rPr>
          <w:b/>
          <w:noProof/>
          <w:szCs w:val="24"/>
          <w:lang w:eastAsia="en-GB"/>
        </w:rPr>
        <w:t xml:space="preserve">Quality </w:t>
      </w:r>
    </w:p>
    <w:p w14:paraId="6771E868" w14:textId="7476CF86" w:rsidR="00E51455" w:rsidRPr="000275CD" w:rsidRDefault="00E51455" w:rsidP="00E51455">
      <w:pPr>
        <w:rPr>
          <w:noProof/>
          <w:lang w:eastAsia="fr-FR"/>
        </w:rPr>
      </w:pPr>
      <w:r w:rsidRPr="000275CD">
        <w:rPr>
          <w:b/>
          <w:noProof/>
          <w:lang w:eastAsia="fr-FR"/>
        </w:rPr>
        <w:t xml:space="preserve">Major projects to improve the level of digitalisation of the justice system are advancing well. </w:t>
      </w:r>
      <w:r w:rsidRPr="000275CD">
        <w:rPr>
          <w:bCs/>
          <w:noProof/>
          <w:lang w:eastAsia="fr-FR"/>
        </w:rPr>
        <w:t xml:space="preserve">As reflected in the 2026 EU Justice Scoreboard, there is </w:t>
      </w:r>
      <w:r w:rsidR="001C1A07">
        <w:rPr>
          <w:bCs/>
          <w:noProof/>
          <w:lang w:eastAsia="fr-FR"/>
        </w:rPr>
        <w:t xml:space="preserve">further </w:t>
      </w:r>
      <w:r w:rsidRPr="000275CD">
        <w:rPr>
          <w:bCs/>
          <w:noProof/>
          <w:lang w:eastAsia="fr-FR"/>
        </w:rPr>
        <w:t>progress in certain areas, including digital-ready procedural rules and the use of digital technology by courts and prosecution services</w:t>
      </w:r>
      <w:r w:rsidR="00821A49">
        <w:rPr>
          <w:bCs/>
          <w:noProof/>
          <w:lang w:eastAsia="fr-FR"/>
        </w:rPr>
        <w:t xml:space="preserve">, </w:t>
      </w:r>
      <w:r w:rsidR="00821A49" w:rsidRPr="00DA28FC">
        <w:rPr>
          <w:bCs/>
          <w:noProof/>
          <w:lang w:eastAsia="fr-FR"/>
        </w:rPr>
        <w:t xml:space="preserve">while </w:t>
      </w:r>
      <w:r w:rsidR="00210FEC" w:rsidRPr="00DA28FC">
        <w:rPr>
          <w:bCs/>
          <w:noProof/>
          <w:lang w:eastAsia="fr-FR"/>
        </w:rPr>
        <w:t>some shortcomings remain</w:t>
      </w:r>
      <w:r w:rsidRPr="000275CD">
        <w:rPr>
          <w:bCs/>
          <w:noProof/>
          <w:vertAlign w:val="superscript"/>
          <w:lang w:eastAsia="fr-FR"/>
        </w:rPr>
        <w:footnoteReference w:id="16"/>
      </w:r>
      <w:r w:rsidRPr="000275CD">
        <w:rPr>
          <w:bCs/>
          <w:noProof/>
          <w:lang w:eastAsia="fr-FR"/>
        </w:rPr>
        <w:t>.</w:t>
      </w:r>
      <w:r w:rsidRPr="000275CD">
        <w:rPr>
          <w:b/>
          <w:noProof/>
          <w:lang w:eastAsia="fr-FR"/>
        </w:rPr>
        <w:t xml:space="preserve"> </w:t>
      </w:r>
      <w:r w:rsidRPr="000275CD">
        <w:rPr>
          <w:noProof/>
          <w:lang w:eastAsia="fr-FR"/>
        </w:rPr>
        <w:t>Greece is undertaking a comprehensive digital transformation of its justice system through major projects funded by the Recovery and Resilience Facility with full implementation targeted by the end of 2026</w:t>
      </w:r>
      <w:r w:rsidRPr="000275CD">
        <w:rPr>
          <w:noProof/>
          <w:vertAlign w:val="superscript"/>
          <w:lang w:eastAsia="fr-FR"/>
        </w:rPr>
        <w:footnoteReference w:id="17"/>
      </w:r>
      <w:r w:rsidRPr="000275CD">
        <w:rPr>
          <w:noProof/>
          <w:lang w:eastAsia="fr-FR"/>
        </w:rPr>
        <w:t>.</w:t>
      </w:r>
      <w:r w:rsidRPr="000275CD">
        <w:rPr>
          <w:b/>
          <w:noProof/>
          <w:lang w:eastAsia="fr-FR"/>
        </w:rPr>
        <w:t xml:space="preserve"> </w:t>
      </w:r>
      <w:r w:rsidRPr="000275CD">
        <w:rPr>
          <w:noProof/>
          <w:lang w:eastAsia="fr-FR"/>
        </w:rPr>
        <w:t xml:space="preserve">The Integrated Case Management System for Civil and Criminal Justice is already deployed in </w:t>
      </w:r>
      <w:r w:rsidR="00044937">
        <w:rPr>
          <w:noProof/>
          <w:lang w:eastAsia="fr-FR"/>
        </w:rPr>
        <w:t>all</w:t>
      </w:r>
      <w:r w:rsidRPr="000275CD">
        <w:rPr>
          <w:noProof/>
          <w:lang w:eastAsia="fr-FR"/>
        </w:rPr>
        <w:t xml:space="preserve"> prosecutors’ offices</w:t>
      </w:r>
      <w:r w:rsidR="00044937">
        <w:rPr>
          <w:noProof/>
          <w:lang w:eastAsia="fr-FR"/>
        </w:rPr>
        <w:t xml:space="preserve"> and</w:t>
      </w:r>
      <w:r w:rsidRPr="000275CD">
        <w:rPr>
          <w:noProof/>
          <w:lang w:eastAsia="fr-FR"/>
        </w:rPr>
        <w:t xml:space="preserve"> criminal courts and </w:t>
      </w:r>
      <w:r w:rsidR="00044937">
        <w:rPr>
          <w:noProof/>
          <w:lang w:eastAsia="fr-FR"/>
        </w:rPr>
        <w:t>the vast majority</w:t>
      </w:r>
      <w:r w:rsidRPr="000275CD">
        <w:rPr>
          <w:noProof/>
          <w:lang w:eastAsia="fr-FR"/>
        </w:rPr>
        <w:t xml:space="preserve"> of civil courts</w:t>
      </w:r>
      <w:r w:rsidR="00044937">
        <w:rPr>
          <w:noProof/>
          <w:lang w:eastAsia="fr-FR"/>
        </w:rPr>
        <w:t xml:space="preserve"> (96%)</w:t>
      </w:r>
      <w:r w:rsidRPr="000275CD">
        <w:rPr>
          <w:noProof/>
          <w:lang w:eastAsia="fr-FR"/>
        </w:rPr>
        <w:t>. A key reform is the electronic case file, enabling electronic filing and organisation of case documents, full access to case materials, electronic submissions, and certificate issuance. Full rollout across all branches of justice is expected by the end of 2026</w:t>
      </w:r>
      <w:r w:rsidRPr="000275CD">
        <w:rPr>
          <w:noProof/>
          <w:vertAlign w:val="superscript"/>
          <w:lang w:eastAsia="fr-FR"/>
        </w:rPr>
        <w:footnoteReference w:id="18"/>
      </w:r>
      <w:r w:rsidRPr="000275CD">
        <w:rPr>
          <w:noProof/>
          <w:lang w:eastAsia="fr-FR"/>
        </w:rPr>
        <w:t xml:space="preserve">. The Integrated Case Management System for Administrative Justice is due to become fully operational by September 2026, covering the entire administrative court process. The Court of Audit is developing a virtual assistant judge to be integrated into its already fully operational case management system (since </w:t>
      </w:r>
      <w:r w:rsidRPr="000275CD">
        <w:rPr>
          <w:bCs/>
          <w:noProof/>
          <w:lang w:eastAsia="fr-FR"/>
        </w:rPr>
        <w:t>September 2025)</w:t>
      </w:r>
      <w:r w:rsidRPr="000275CD">
        <w:rPr>
          <w:bCs/>
          <w:noProof/>
          <w:vertAlign w:val="superscript"/>
          <w:lang w:eastAsia="fr-FR"/>
        </w:rPr>
        <w:footnoteReference w:id="19"/>
      </w:r>
      <w:r w:rsidRPr="000275CD">
        <w:rPr>
          <w:bCs/>
          <w:noProof/>
          <w:lang w:eastAsia="fr-FR"/>
        </w:rPr>
        <w:t>.</w:t>
      </w:r>
      <w:r w:rsidRPr="000275CD">
        <w:rPr>
          <w:bCs/>
          <w:i/>
          <w:iCs/>
          <w:noProof/>
          <w:lang w:eastAsia="fr-FR"/>
        </w:rPr>
        <w:t xml:space="preserve"> </w:t>
      </w:r>
      <w:r w:rsidRPr="000275CD">
        <w:rPr>
          <w:bCs/>
          <w:noProof/>
          <w:lang w:eastAsia="fr-FR"/>
        </w:rPr>
        <w:t>Judicial statistics collection continues to improve while remaining incomplete</w:t>
      </w:r>
      <w:r w:rsidRPr="000275CD">
        <w:rPr>
          <w:bCs/>
          <w:noProof/>
          <w:vertAlign w:val="superscript"/>
          <w:lang w:eastAsia="fr-FR"/>
        </w:rPr>
        <w:footnoteReference w:id="20"/>
      </w:r>
      <w:r w:rsidRPr="000275CD">
        <w:rPr>
          <w:bCs/>
          <w:noProof/>
          <w:lang w:eastAsia="fr-FR"/>
        </w:rPr>
        <w:t>. Access to case law via court websites is progressing, though still dependent on anonymisation, which is expected to be automated soon</w:t>
      </w:r>
      <w:r w:rsidRPr="000275CD">
        <w:rPr>
          <w:bCs/>
          <w:noProof/>
          <w:vertAlign w:val="superscript"/>
          <w:lang w:eastAsia="fr-FR"/>
        </w:rPr>
        <w:footnoteReference w:id="21"/>
      </w:r>
      <w:r w:rsidRPr="000275CD">
        <w:rPr>
          <w:bCs/>
          <w:noProof/>
          <w:lang w:eastAsia="fr-FR"/>
        </w:rPr>
        <w:t>. The digitalisation of the notary profession is advancing well</w:t>
      </w:r>
      <w:r w:rsidRPr="000275CD">
        <w:rPr>
          <w:bCs/>
          <w:noProof/>
          <w:vertAlign w:val="superscript"/>
          <w:lang w:eastAsia="fr-FR"/>
        </w:rPr>
        <w:footnoteReference w:id="22"/>
      </w:r>
      <w:r w:rsidRPr="000275CD">
        <w:rPr>
          <w:bCs/>
          <w:noProof/>
          <w:lang w:eastAsia="fr-FR"/>
        </w:rPr>
        <w:t>.</w:t>
      </w:r>
      <w:r w:rsidRPr="000275CD">
        <w:rPr>
          <w:noProof/>
          <w:lang w:eastAsia="fr-FR"/>
        </w:rPr>
        <w:t xml:space="preserve"> </w:t>
      </w:r>
    </w:p>
    <w:p w14:paraId="17EDD8E4" w14:textId="2EBE1711" w:rsidR="00E51455" w:rsidRPr="000275CD" w:rsidRDefault="00E51455" w:rsidP="00E51455">
      <w:pPr>
        <w:rPr>
          <w:b/>
          <w:noProof/>
          <w:lang w:eastAsia="fr-FR"/>
        </w:rPr>
      </w:pPr>
      <w:r w:rsidRPr="000275CD">
        <w:rPr>
          <w:b/>
          <w:noProof/>
          <w:lang w:eastAsia="fr-FR"/>
        </w:rPr>
        <w:t xml:space="preserve">Efforts to promote the use of alternative dispute resolution continue. </w:t>
      </w:r>
      <w:r w:rsidRPr="000275CD">
        <w:rPr>
          <w:noProof/>
          <w:lang w:eastAsia="fr-FR"/>
        </w:rPr>
        <w:t xml:space="preserve">A </w:t>
      </w:r>
      <w:r w:rsidR="001455F4">
        <w:rPr>
          <w:noProof/>
          <w:lang w:eastAsia="fr-FR"/>
        </w:rPr>
        <w:t>draft</w:t>
      </w:r>
      <w:r w:rsidRPr="000275CD">
        <w:rPr>
          <w:noProof/>
          <w:lang w:eastAsia="fr-FR"/>
        </w:rPr>
        <w:t xml:space="preserve"> Code of Alternative Dispute Resolution </w:t>
      </w:r>
      <w:r w:rsidR="000256E9">
        <w:rPr>
          <w:noProof/>
          <w:lang w:eastAsia="fr-FR"/>
        </w:rPr>
        <w:t>has been submitted for the Government’s approval</w:t>
      </w:r>
      <w:r w:rsidR="00FC0062">
        <w:rPr>
          <w:rStyle w:val="FootnoteReference"/>
          <w:noProof/>
          <w:lang w:eastAsia="fr-FR"/>
        </w:rPr>
        <w:footnoteReference w:id="23"/>
      </w:r>
      <w:r w:rsidRPr="000275CD">
        <w:rPr>
          <w:noProof/>
          <w:lang w:eastAsia="fr-FR"/>
        </w:rPr>
        <w:t>. Other measures include integrating mediation and other dispute resolution methods into law school curricula and mandatory training for judges</w:t>
      </w:r>
      <w:r w:rsidRPr="000275CD">
        <w:rPr>
          <w:b/>
          <w:bCs/>
          <w:noProof/>
          <w:lang w:eastAsia="fr-FR"/>
        </w:rPr>
        <w:t xml:space="preserve">, </w:t>
      </w:r>
      <w:r w:rsidRPr="000275CD">
        <w:rPr>
          <w:noProof/>
          <w:lang w:eastAsia="fr-FR"/>
        </w:rPr>
        <w:t>alongside digital upgrades to mediation centres and the establishment of arbitration committees at the Chambers of Commerce in Volos and Athens</w:t>
      </w:r>
      <w:r w:rsidRPr="000275CD">
        <w:rPr>
          <w:noProof/>
          <w:vertAlign w:val="superscript"/>
          <w:lang w:eastAsia="fr-FR"/>
        </w:rPr>
        <w:footnoteReference w:id="24"/>
      </w:r>
      <w:r w:rsidRPr="000275CD">
        <w:rPr>
          <w:noProof/>
          <w:lang w:eastAsia="fr-FR"/>
        </w:rPr>
        <w:t xml:space="preserve">. </w:t>
      </w:r>
      <w:r w:rsidRPr="000275CD">
        <w:rPr>
          <w:noProof/>
          <w:szCs w:val="22"/>
          <w:lang w:eastAsia="fr-FR"/>
        </w:rPr>
        <w:t>Business representatives strongly support efforts to promote alternative dispute resolution</w:t>
      </w:r>
      <w:r w:rsidRPr="000275CD">
        <w:rPr>
          <w:noProof/>
          <w:szCs w:val="22"/>
          <w:vertAlign w:val="superscript"/>
          <w:lang w:eastAsia="fr-FR"/>
        </w:rPr>
        <w:footnoteReference w:id="25"/>
      </w:r>
      <w:r w:rsidRPr="000275CD">
        <w:rPr>
          <w:noProof/>
          <w:szCs w:val="22"/>
          <w:lang w:eastAsia="fr-FR"/>
        </w:rPr>
        <w:t>. Its use - which is voluntary - remains limited, notably in administrative disputes, indicating a potential area for providing further incentives</w:t>
      </w:r>
      <w:r w:rsidRPr="000275CD">
        <w:rPr>
          <w:noProof/>
          <w:szCs w:val="22"/>
          <w:vertAlign w:val="superscript"/>
          <w:lang w:eastAsia="fr-FR"/>
        </w:rPr>
        <w:footnoteReference w:id="26"/>
      </w:r>
      <w:r w:rsidRPr="000275CD">
        <w:rPr>
          <w:noProof/>
          <w:szCs w:val="22"/>
          <w:lang w:eastAsia="fr-FR"/>
        </w:rPr>
        <w:t>.</w:t>
      </w:r>
    </w:p>
    <w:p w14:paraId="1AA66704" w14:textId="77777777" w:rsidR="00E51455" w:rsidRPr="000275CD" w:rsidRDefault="00E51455" w:rsidP="00E51455">
      <w:pPr>
        <w:rPr>
          <w:rFonts w:ascii="Calibri" w:eastAsia="Calibri" w:hAnsi="Calibri" w:cs="Calibri"/>
          <w:i/>
          <w:iCs/>
          <w:noProof/>
          <w:sz w:val="20"/>
          <w:shd w:val="clear" w:color="auto" w:fill="FFFFFF"/>
          <w:lang w:eastAsia="en-US"/>
        </w:rPr>
      </w:pPr>
      <w:r w:rsidRPr="000275CD">
        <w:rPr>
          <w:b/>
          <w:bCs/>
          <w:noProof/>
          <w:szCs w:val="22"/>
          <w:lang w:eastAsia="fr-FR"/>
        </w:rPr>
        <w:t>Recruitment of prosecutors and court support staff alongside improvements in building infrastructure aim to address shortcomings.</w:t>
      </w:r>
      <w:r w:rsidRPr="000275CD">
        <w:rPr>
          <w:noProof/>
          <w:szCs w:val="22"/>
          <w:lang w:eastAsia="fr-FR"/>
        </w:rPr>
        <w:t xml:space="preserve"> The Government is taking measures to address the shortage of prosecutors, a challenge exacerbated by recent judicial reforms, to meet the growing demands of first-instance courts and to align Greece with the EU average ratio of prosecutors per capita</w:t>
      </w:r>
      <w:r w:rsidRPr="000275CD">
        <w:rPr>
          <w:noProof/>
          <w:szCs w:val="22"/>
          <w:vertAlign w:val="superscript"/>
          <w:lang w:eastAsia="fr-FR"/>
        </w:rPr>
        <w:footnoteReference w:id="27"/>
      </w:r>
      <w:r w:rsidRPr="000275CD">
        <w:rPr>
          <w:noProof/>
          <w:szCs w:val="22"/>
          <w:lang w:eastAsia="fr-FR"/>
        </w:rPr>
        <w:t>. Measures include creating 50 new prosecutorial positions and accelerating the training and deployment of new prosecutors</w:t>
      </w:r>
      <w:r w:rsidRPr="000275CD">
        <w:rPr>
          <w:noProof/>
          <w:szCs w:val="22"/>
          <w:vertAlign w:val="superscript"/>
          <w:lang w:eastAsia="fr-FR"/>
        </w:rPr>
        <w:footnoteReference w:id="28"/>
      </w:r>
      <w:r w:rsidRPr="000275CD">
        <w:rPr>
          <w:noProof/>
          <w:szCs w:val="22"/>
          <w:lang w:eastAsia="fr-FR"/>
        </w:rPr>
        <w:t>. Judges’ associations have demanded measures to restore pay levels, pointing to the rapid rise in living costs and the need for salaries proportionate to the judicial function</w:t>
      </w:r>
      <w:r w:rsidRPr="000275CD">
        <w:rPr>
          <w:noProof/>
          <w:szCs w:val="22"/>
          <w:vertAlign w:val="superscript"/>
          <w:lang w:eastAsia="fr-FR"/>
        </w:rPr>
        <w:footnoteReference w:id="29"/>
      </w:r>
      <w:r w:rsidRPr="000275CD">
        <w:rPr>
          <w:noProof/>
          <w:szCs w:val="22"/>
          <w:lang w:eastAsia="fr-FR"/>
        </w:rPr>
        <w:t>. Support staff remains insufficient, including assistant judges, scientific staff and IT specialists</w:t>
      </w:r>
      <w:r w:rsidRPr="000275CD">
        <w:rPr>
          <w:noProof/>
          <w:szCs w:val="22"/>
          <w:vertAlign w:val="superscript"/>
          <w:lang w:eastAsia="fr-FR"/>
        </w:rPr>
        <w:footnoteReference w:id="30"/>
      </w:r>
      <w:r w:rsidRPr="000275CD">
        <w:rPr>
          <w:noProof/>
          <w:szCs w:val="22"/>
          <w:lang w:eastAsia="fr-FR"/>
        </w:rPr>
        <w:t>. Incentives are provided to help fill positions in challenging areas, where understaffing is common. Additional positions for judicial clerks were established at the Council of State and the Court of Audit. In parallel, a comprehensive programme financed through the Recovery and Resilience Facility and national funds is underway to renovate court infrastructure</w:t>
      </w:r>
      <w:r w:rsidRPr="000275CD">
        <w:rPr>
          <w:noProof/>
          <w:szCs w:val="22"/>
          <w:vertAlign w:val="superscript"/>
          <w:lang w:eastAsia="fr-FR"/>
        </w:rPr>
        <w:footnoteReference w:id="31"/>
      </w:r>
      <w:r w:rsidRPr="000275CD">
        <w:rPr>
          <w:noProof/>
          <w:szCs w:val="22"/>
          <w:lang w:eastAsia="fr-FR"/>
        </w:rPr>
        <w:t>.</w:t>
      </w:r>
    </w:p>
    <w:p w14:paraId="7CCAC32A" w14:textId="5B1171BC" w:rsidR="00E51455" w:rsidRPr="000275CD" w:rsidRDefault="00E51455" w:rsidP="00E51455">
      <w:pPr>
        <w:spacing w:after="0"/>
        <w:rPr>
          <w:rFonts w:ascii="Calibri" w:eastAsia="Calibri" w:hAnsi="Calibri" w:cs="Calibri"/>
          <w:i/>
          <w:iCs/>
          <w:noProof/>
          <w:sz w:val="20"/>
          <w:shd w:val="clear" w:color="auto" w:fill="FFFFFF"/>
          <w:lang w:eastAsia="en-US"/>
        </w:rPr>
      </w:pPr>
      <w:r w:rsidRPr="000275CD">
        <w:rPr>
          <w:b/>
          <w:noProof/>
          <w:lang w:eastAsia="fr-FR"/>
        </w:rPr>
        <w:t xml:space="preserve">The implementation of the judicial map in administrative justice is ongoing and there are plans to revise the Code of Administrative Procedure. </w:t>
      </w:r>
      <w:r w:rsidRPr="000275CD">
        <w:rPr>
          <w:noProof/>
          <w:lang w:eastAsia="fr-FR"/>
        </w:rPr>
        <w:t>The consolidation of administrative courts, with the establishment of telematics offices in areas where courts will be abolished is expected to be completed by September 2026</w:t>
      </w:r>
      <w:r w:rsidRPr="000275CD">
        <w:rPr>
          <w:noProof/>
          <w:vertAlign w:val="superscript"/>
          <w:lang w:eastAsia="fr-FR"/>
        </w:rPr>
        <w:footnoteReference w:id="32"/>
      </w:r>
      <w:r w:rsidRPr="000275CD">
        <w:rPr>
          <w:noProof/>
          <w:lang w:eastAsia="fr-FR"/>
        </w:rPr>
        <w:t>. Administrative judges voiced concerns about a possible restriction to access to the courts</w:t>
      </w:r>
      <w:r w:rsidRPr="000275CD">
        <w:rPr>
          <w:noProof/>
          <w:vertAlign w:val="superscript"/>
          <w:lang w:eastAsia="fr-FR"/>
        </w:rPr>
        <w:footnoteReference w:id="33"/>
      </w:r>
      <w:r w:rsidRPr="000275CD">
        <w:rPr>
          <w:noProof/>
          <w:lang w:eastAsia="fr-FR"/>
        </w:rPr>
        <w:t>. Proposed amendments to the Code of Administrative Procedure introduce a front-loaded system where a judge rapporteur ensures that cases are fully prepared before hearings</w:t>
      </w:r>
      <w:r w:rsidR="0064173A">
        <w:rPr>
          <w:rStyle w:val="FootnoteReference"/>
          <w:noProof/>
          <w:lang w:eastAsia="fr-FR"/>
        </w:rPr>
        <w:footnoteReference w:id="34"/>
      </w:r>
      <w:r w:rsidRPr="000275CD">
        <w:rPr>
          <w:noProof/>
          <w:lang w:eastAsia="fr-FR"/>
        </w:rPr>
        <w:t>. Following concerns raised by both judges and lawyers, arguing that the reforms could overburden parties with strict procedural obligations and judges with administrative tasks due to understaffing, the Ministry of Justice established a working group, with the participation of judges’ associations and lawyers, to finalise the reforms</w:t>
      </w:r>
      <w:r w:rsidRPr="000275CD">
        <w:rPr>
          <w:noProof/>
          <w:vertAlign w:val="superscript"/>
          <w:lang w:eastAsia="fr-FR"/>
        </w:rPr>
        <w:footnoteReference w:id="35"/>
      </w:r>
      <w:r w:rsidRPr="000275CD">
        <w:rPr>
          <w:noProof/>
          <w:lang w:eastAsia="fr-FR"/>
        </w:rPr>
        <w:t>.</w:t>
      </w:r>
    </w:p>
    <w:p w14:paraId="09AE23BD" w14:textId="77777777" w:rsidR="00E51455" w:rsidRPr="000275CD" w:rsidRDefault="00E51455" w:rsidP="00E51455">
      <w:pPr>
        <w:spacing w:after="0"/>
        <w:rPr>
          <w:noProof/>
          <w:lang w:eastAsia="fr-FR"/>
        </w:rPr>
      </w:pPr>
    </w:p>
    <w:p w14:paraId="789DB856" w14:textId="77777777" w:rsidR="00E51455" w:rsidRPr="000275CD" w:rsidRDefault="00E51455" w:rsidP="00E51455">
      <w:pPr>
        <w:keepNext/>
        <w:outlineLvl w:val="1"/>
        <w:rPr>
          <w:b/>
          <w:noProof/>
          <w:szCs w:val="24"/>
          <w:lang w:eastAsia="en-GB"/>
        </w:rPr>
      </w:pPr>
      <w:r w:rsidRPr="000275CD">
        <w:rPr>
          <w:b/>
          <w:noProof/>
          <w:szCs w:val="24"/>
          <w:lang w:eastAsia="en-GB"/>
        </w:rPr>
        <w:t>Efficiency</w:t>
      </w:r>
    </w:p>
    <w:p w14:paraId="55B5C1AA" w14:textId="62296EA6" w:rsidR="00E51455" w:rsidRPr="000275CD" w:rsidRDefault="00E51455" w:rsidP="00E51455">
      <w:pPr>
        <w:rPr>
          <w:noProof/>
          <w:szCs w:val="22"/>
          <w:lang w:eastAsia="fr-FR"/>
        </w:rPr>
      </w:pPr>
      <w:r w:rsidRPr="000275CD">
        <w:rPr>
          <w:b/>
          <w:noProof/>
          <w:szCs w:val="22"/>
          <w:lang w:eastAsia="fr-FR"/>
        </w:rPr>
        <w:t xml:space="preserve">Reforms show promising </w:t>
      </w:r>
      <w:r w:rsidRPr="000275CD">
        <w:rPr>
          <w:b/>
          <w:bCs/>
          <w:noProof/>
          <w:szCs w:val="22"/>
          <w:lang w:eastAsia="fr-FR"/>
        </w:rPr>
        <w:t>results</w:t>
      </w:r>
      <w:r w:rsidRPr="000275CD">
        <w:rPr>
          <w:b/>
          <w:noProof/>
          <w:szCs w:val="22"/>
          <w:lang w:eastAsia="fr-FR"/>
        </w:rPr>
        <w:t xml:space="preserve"> in improving judicial efficiency</w:t>
      </w:r>
      <w:r w:rsidR="00E35570">
        <w:rPr>
          <w:b/>
          <w:noProof/>
          <w:szCs w:val="22"/>
          <w:lang w:eastAsia="fr-FR"/>
        </w:rPr>
        <w:t>,</w:t>
      </w:r>
      <w:r w:rsidR="00E34A5C">
        <w:rPr>
          <w:b/>
          <w:noProof/>
          <w:szCs w:val="22"/>
          <w:lang w:eastAsia="fr-FR"/>
        </w:rPr>
        <w:t xml:space="preserve"> as the length of proceedings has slightly decreased</w:t>
      </w:r>
      <w:r w:rsidRPr="000275CD">
        <w:rPr>
          <w:b/>
          <w:noProof/>
          <w:szCs w:val="22"/>
          <w:lang w:eastAsia="fr-FR"/>
        </w:rPr>
        <w:t xml:space="preserve">, but </w:t>
      </w:r>
      <w:r w:rsidR="00E35FF5">
        <w:rPr>
          <w:b/>
          <w:noProof/>
          <w:szCs w:val="22"/>
          <w:lang w:eastAsia="fr-FR"/>
        </w:rPr>
        <w:t xml:space="preserve">still </w:t>
      </w:r>
      <w:r w:rsidRPr="000275CD">
        <w:rPr>
          <w:b/>
          <w:noProof/>
          <w:szCs w:val="22"/>
          <w:lang w:eastAsia="fr-FR"/>
        </w:rPr>
        <w:t>remains a serious challenge, notably in civil justice</w:t>
      </w:r>
      <w:r w:rsidRPr="000275CD">
        <w:rPr>
          <w:b/>
          <w:i/>
          <w:noProof/>
          <w:szCs w:val="22"/>
          <w:lang w:eastAsia="fr-FR"/>
        </w:rPr>
        <w:t xml:space="preserve">. </w:t>
      </w:r>
      <w:r w:rsidR="00FE4E61">
        <w:rPr>
          <w:bCs/>
          <w:iCs/>
          <w:noProof/>
          <w:szCs w:val="22"/>
          <w:lang w:eastAsia="fr-FR"/>
        </w:rPr>
        <w:t xml:space="preserve">In </w:t>
      </w:r>
      <w:r w:rsidR="003E05C8">
        <w:rPr>
          <w:bCs/>
          <w:iCs/>
          <w:noProof/>
          <w:szCs w:val="22"/>
          <w:lang w:eastAsia="fr-FR"/>
        </w:rPr>
        <w:t>2024, t</w:t>
      </w:r>
      <w:r w:rsidRPr="000275CD">
        <w:rPr>
          <w:noProof/>
          <w:szCs w:val="22"/>
          <w:lang w:eastAsia="fr-FR"/>
        </w:rPr>
        <w:t>he disposition time in litigious civil and commercial cases at first instance courts slightly decreased to 737 days (compared to 771 days in 2023) though it remain</w:t>
      </w:r>
      <w:r w:rsidR="003E05C8">
        <w:rPr>
          <w:noProof/>
          <w:szCs w:val="22"/>
          <w:lang w:eastAsia="fr-FR"/>
        </w:rPr>
        <w:t>ed</w:t>
      </w:r>
      <w:r w:rsidRPr="000275CD">
        <w:rPr>
          <w:noProof/>
          <w:szCs w:val="22"/>
          <w:lang w:eastAsia="fr-FR"/>
        </w:rPr>
        <w:t xml:space="preserve"> the longest in the EU. The clearance rate for these cases dropped significantly to 81% (92% in 2022)</w:t>
      </w:r>
      <w:r w:rsidRPr="000275CD">
        <w:rPr>
          <w:noProof/>
          <w:szCs w:val="22"/>
          <w:vertAlign w:val="superscript"/>
          <w:lang w:eastAsia="fr-FR"/>
        </w:rPr>
        <w:footnoteReference w:id="36"/>
      </w:r>
      <w:r w:rsidRPr="000275CD">
        <w:rPr>
          <w:noProof/>
          <w:szCs w:val="22"/>
          <w:lang w:eastAsia="fr-FR"/>
        </w:rPr>
        <w:t>. Length of court proceedings remains an issue for business development</w:t>
      </w:r>
      <w:r w:rsidRPr="000275CD">
        <w:rPr>
          <w:noProof/>
          <w:szCs w:val="22"/>
          <w:vertAlign w:val="superscript"/>
          <w:lang w:eastAsia="fr-FR"/>
        </w:rPr>
        <w:footnoteReference w:id="37"/>
      </w:r>
      <w:r w:rsidRPr="000275CD">
        <w:rPr>
          <w:noProof/>
          <w:szCs w:val="22"/>
          <w:lang w:eastAsia="fr-FR"/>
        </w:rPr>
        <w:t>. At the same time, the first statistical data from the three largest courts, following the implementation of the new judicial map for civil and criminal justice</w:t>
      </w:r>
      <w:r w:rsidRPr="000275CD">
        <w:rPr>
          <w:noProof/>
          <w:szCs w:val="22"/>
          <w:vertAlign w:val="superscript"/>
          <w:lang w:eastAsia="fr-FR"/>
        </w:rPr>
        <w:footnoteReference w:id="38"/>
      </w:r>
      <w:r w:rsidRPr="000275CD">
        <w:rPr>
          <w:noProof/>
          <w:szCs w:val="22"/>
          <w:lang w:eastAsia="fr-FR"/>
        </w:rPr>
        <w:t>, indicate a substantial improvement in both disposition times and clearance rates. Specifically, the estimated time for a final decision by the Athens Court of First Instance has decreased to 513 days (1 422 days prior to the reform), while its clearance rate has increased to 100.8% (from 87.5%)</w:t>
      </w:r>
      <w:r w:rsidRPr="000275CD">
        <w:rPr>
          <w:noProof/>
          <w:szCs w:val="22"/>
          <w:vertAlign w:val="superscript"/>
          <w:lang w:eastAsia="fr-FR"/>
        </w:rPr>
        <w:footnoteReference w:id="39"/>
      </w:r>
      <w:r w:rsidRPr="000275CD">
        <w:rPr>
          <w:noProof/>
          <w:szCs w:val="22"/>
          <w:lang w:eastAsia="fr-FR"/>
        </w:rPr>
        <w:t>. All justice stakeholders agree that the new judicial map is already yielding positive results, and if these trends continue, it will mark significant progress in the administration of justice</w:t>
      </w:r>
      <w:r w:rsidRPr="000275CD">
        <w:rPr>
          <w:noProof/>
          <w:szCs w:val="22"/>
          <w:vertAlign w:val="superscript"/>
          <w:lang w:eastAsia="fr-FR"/>
        </w:rPr>
        <w:footnoteReference w:id="40"/>
      </w:r>
      <w:r w:rsidRPr="000275CD">
        <w:rPr>
          <w:noProof/>
          <w:szCs w:val="22"/>
          <w:lang w:eastAsia="fr-FR"/>
        </w:rPr>
        <w:t xml:space="preserve">. For administrative cases, the disposition time at first instance courts remains stable at 445 days in 2024 (439 days in 2023) with their clearance rate remaining among the highest of the EU (112%, compared to 121% in 2023). The length of proceedings before the Council of State </w:t>
      </w:r>
      <w:r w:rsidR="00E96B1B">
        <w:rPr>
          <w:noProof/>
          <w:szCs w:val="22"/>
          <w:lang w:eastAsia="fr-FR"/>
        </w:rPr>
        <w:t>has improved</w:t>
      </w:r>
      <w:r w:rsidRPr="000275CD">
        <w:rPr>
          <w:noProof/>
          <w:szCs w:val="22"/>
          <w:lang w:eastAsia="fr-FR"/>
        </w:rPr>
        <w:t xml:space="preserve">, </w:t>
      </w:r>
      <w:r w:rsidR="001604D8">
        <w:rPr>
          <w:noProof/>
          <w:szCs w:val="22"/>
          <w:lang w:eastAsia="fr-FR"/>
        </w:rPr>
        <w:t xml:space="preserve">with </w:t>
      </w:r>
      <w:r w:rsidRPr="000275CD">
        <w:rPr>
          <w:noProof/>
          <w:szCs w:val="22"/>
          <w:lang w:eastAsia="fr-FR"/>
        </w:rPr>
        <w:t xml:space="preserve">the disposition time </w:t>
      </w:r>
      <w:r w:rsidR="002342F3" w:rsidRPr="000275CD">
        <w:rPr>
          <w:noProof/>
          <w:szCs w:val="22"/>
          <w:lang w:eastAsia="fr-FR"/>
        </w:rPr>
        <w:t>d</w:t>
      </w:r>
      <w:r w:rsidR="002342F3">
        <w:rPr>
          <w:noProof/>
          <w:szCs w:val="22"/>
          <w:lang w:eastAsia="fr-FR"/>
        </w:rPr>
        <w:t>ecreasing</w:t>
      </w:r>
      <w:r w:rsidRPr="000275CD">
        <w:rPr>
          <w:noProof/>
          <w:szCs w:val="22"/>
          <w:lang w:eastAsia="fr-FR"/>
        </w:rPr>
        <w:t xml:space="preserve"> to </w:t>
      </w:r>
      <w:r w:rsidR="00C83E26">
        <w:rPr>
          <w:noProof/>
          <w:szCs w:val="22"/>
          <w:lang w:eastAsia="fr-FR"/>
        </w:rPr>
        <w:t>966</w:t>
      </w:r>
      <w:r w:rsidR="00C83E26" w:rsidRPr="000275CD">
        <w:rPr>
          <w:noProof/>
          <w:szCs w:val="22"/>
          <w:lang w:eastAsia="fr-FR"/>
        </w:rPr>
        <w:t xml:space="preserve"> </w:t>
      </w:r>
      <w:r w:rsidRPr="000275CD">
        <w:rPr>
          <w:noProof/>
          <w:szCs w:val="22"/>
          <w:lang w:eastAsia="fr-FR"/>
        </w:rPr>
        <w:t>days in 2024 (from 1 239 days in 2023)</w:t>
      </w:r>
      <w:r w:rsidR="00692179">
        <w:rPr>
          <w:noProof/>
          <w:szCs w:val="22"/>
          <w:lang w:eastAsia="fr-FR"/>
        </w:rPr>
        <w:t>.</w:t>
      </w:r>
      <w:r w:rsidRPr="000275CD">
        <w:rPr>
          <w:noProof/>
          <w:szCs w:val="22"/>
          <w:lang w:eastAsia="fr-FR"/>
        </w:rPr>
        <w:t xml:space="preserve"> Judges attribute this improvement in part to the transfer of certain categories of cases from the Council of State to ordinary administrative courts</w:t>
      </w:r>
      <w:r w:rsidRPr="000275CD">
        <w:rPr>
          <w:noProof/>
          <w:szCs w:val="22"/>
          <w:vertAlign w:val="superscript"/>
          <w:lang w:eastAsia="fr-FR"/>
        </w:rPr>
        <w:footnoteReference w:id="41"/>
      </w:r>
      <w:r w:rsidRPr="000275CD">
        <w:rPr>
          <w:noProof/>
          <w:szCs w:val="22"/>
          <w:lang w:eastAsia="fr-FR"/>
        </w:rPr>
        <w:t xml:space="preserve">. </w:t>
      </w:r>
    </w:p>
    <w:p w14:paraId="38D36B81" w14:textId="77777777" w:rsidR="00E51455" w:rsidRPr="000275CD" w:rsidRDefault="00E51455" w:rsidP="00E51455">
      <w:pPr>
        <w:rPr>
          <w:noProof/>
          <w:szCs w:val="22"/>
          <w:highlight w:val="green"/>
          <w:lang w:eastAsia="fr-FR"/>
        </w:rPr>
      </w:pPr>
      <w:r w:rsidRPr="000275CD">
        <w:rPr>
          <w:b/>
          <w:bCs/>
          <w:noProof/>
          <w:szCs w:val="22"/>
          <w:lang w:eastAsia="fr-FR"/>
        </w:rPr>
        <w:t xml:space="preserve">Efforts to decongest civil courts and reduce delays include transferring non-litigious cases to lawyers and notaries, the digital publication of wills and revisions to the Code of Civil Procedure. </w:t>
      </w:r>
      <w:r w:rsidRPr="000275CD">
        <w:rPr>
          <w:noProof/>
          <w:szCs w:val="22"/>
          <w:lang w:eastAsia="fr-FR"/>
        </w:rPr>
        <w:t>Justice stakeholders have consistently praised the transfer of judicial, non-litigious, functions to lawyers and notaries, including the recognition of associations, notices of mortgages and inheritance certificates</w:t>
      </w:r>
      <w:r w:rsidRPr="000275CD">
        <w:rPr>
          <w:noProof/>
          <w:szCs w:val="22"/>
          <w:vertAlign w:val="superscript"/>
          <w:lang w:eastAsia="fr-FR"/>
        </w:rPr>
        <w:footnoteReference w:id="42"/>
      </w:r>
      <w:r w:rsidRPr="000275CD">
        <w:rPr>
          <w:noProof/>
          <w:szCs w:val="22"/>
          <w:lang w:eastAsia="fr-FR"/>
        </w:rPr>
        <w:t>. These cases are now handled in a timely manner, freeing up resources within the judicial system. This transfer extends to payment orders as of May 2026, with lawyers and notaries ready to take on further non-judicial responsibilities</w:t>
      </w:r>
      <w:r w:rsidRPr="000275CD">
        <w:rPr>
          <w:i/>
          <w:iCs/>
          <w:noProof/>
          <w:szCs w:val="22"/>
          <w:lang w:eastAsia="fr-FR"/>
        </w:rPr>
        <w:t xml:space="preserve">. </w:t>
      </w:r>
      <w:r w:rsidRPr="000275CD">
        <w:rPr>
          <w:noProof/>
          <w:szCs w:val="22"/>
          <w:lang w:eastAsia="fr-FR"/>
        </w:rPr>
        <w:t>Since November 2025, all wills are published digitally via the register of wills platform</w:t>
      </w:r>
      <w:r w:rsidRPr="000275CD">
        <w:rPr>
          <w:noProof/>
          <w:szCs w:val="22"/>
          <w:vertAlign w:val="superscript"/>
          <w:lang w:eastAsia="fr-FR"/>
        </w:rPr>
        <w:footnoteReference w:id="43"/>
      </w:r>
      <w:r w:rsidRPr="000275CD">
        <w:rPr>
          <w:noProof/>
          <w:szCs w:val="22"/>
          <w:lang w:eastAsia="fr-FR"/>
        </w:rPr>
        <w:t>. Notaries ensure quick certificate issuance and validation of wills, thus eliminating the previous time-consuming court process. Further efficiency gains are expected from establishing specialised criminal divisions at the Athens and Thessaloniki Courts of Appeal</w:t>
      </w:r>
      <w:r w:rsidRPr="000275CD">
        <w:rPr>
          <w:noProof/>
          <w:szCs w:val="22"/>
          <w:vertAlign w:val="superscript"/>
          <w:lang w:eastAsia="fr-FR"/>
        </w:rPr>
        <w:footnoteReference w:id="44"/>
      </w:r>
      <w:r w:rsidRPr="000275CD">
        <w:rPr>
          <w:noProof/>
          <w:szCs w:val="22"/>
          <w:lang w:eastAsia="fr-FR"/>
        </w:rPr>
        <w:t>. Business representatives consider that the specialisation of judges in competition and fiscal law could improve efficiency</w:t>
      </w:r>
      <w:r w:rsidRPr="000275CD">
        <w:rPr>
          <w:noProof/>
          <w:szCs w:val="22"/>
          <w:vertAlign w:val="superscript"/>
          <w:lang w:eastAsia="fr-FR"/>
        </w:rPr>
        <w:footnoteReference w:id="45"/>
      </w:r>
      <w:r w:rsidRPr="000275CD">
        <w:rPr>
          <w:noProof/>
          <w:szCs w:val="22"/>
          <w:lang w:eastAsia="fr-FR"/>
        </w:rPr>
        <w:t>. New provisions of the Code of Civil Procedure impose strict limits on hearing postponements and deadlines for issuing judgments with sanctions for non-compliance</w:t>
      </w:r>
      <w:r w:rsidRPr="000275CD">
        <w:rPr>
          <w:noProof/>
          <w:szCs w:val="22"/>
          <w:vertAlign w:val="superscript"/>
          <w:lang w:eastAsia="fr-FR"/>
        </w:rPr>
        <w:footnoteReference w:id="46"/>
      </w:r>
      <w:r w:rsidRPr="000275CD">
        <w:rPr>
          <w:noProof/>
          <w:szCs w:val="22"/>
          <w:lang w:eastAsia="fr-FR"/>
        </w:rPr>
        <w:t>. The introduction of annual caseload caps addresses judges’ long-standing request for a more balanced case allocation to prevent individual overload</w:t>
      </w:r>
      <w:r w:rsidRPr="000275CD">
        <w:rPr>
          <w:noProof/>
          <w:szCs w:val="22"/>
          <w:vertAlign w:val="superscript"/>
          <w:lang w:eastAsia="fr-FR"/>
        </w:rPr>
        <w:footnoteReference w:id="47"/>
      </w:r>
      <w:r w:rsidRPr="000275CD">
        <w:rPr>
          <w:noProof/>
          <w:szCs w:val="22"/>
          <w:lang w:eastAsia="fr-FR"/>
        </w:rPr>
        <w:t>. Judges, however, caution that delays rarely stem from individual performance alone, warning that an overemphasis on speed – particularly if linked to salary penalties – risks compromising judicial independence and the quality of rulings, while structural issues such as understaffing as regards support staff and administrative bottlenecks remain unresolved</w:t>
      </w:r>
      <w:r w:rsidRPr="000275CD">
        <w:rPr>
          <w:noProof/>
          <w:szCs w:val="22"/>
          <w:vertAlign w:val="superscript"/>
          <w:lang w:eastAsia="fr-FR"/>
        </w:rPr>
        <w:footnoteReference w:id="48"/>
      </w:r>
      <w:r w:rsidRPr="000275CD">
        <w:rPr>
          <w:noProof/>
          <w:szCs w:val="22"/>
          <w:lang w:eastAsia="fr-FR"/>
        </w:rPr>
        <w:t>.</w:t>
      </w:r>
    </w:p>
    <w:p w14:paraId="21CFF80D" w14:textId="77777777" w:rsidR="00E51455" w:rsidRPr="000275CD" w:rsidRDefault="00E51455" w:rsidP="00E51455">
      <w:pPr>
        <w:rPr>
          <w:bCs/>
          <w:noProof/>
          <w:lang w:eastAsia="fr-FR"/>
        </w:rPr>
      </w:pPr>
      <w:r w:rsidRPr="000275CD">
        <w:rPr>
          <w:b/>
          <w:noProof/>
          <w:lang w:eastAsia="fr-FR"/>
        </w:rPr>
        <w:t>S</w:t>
      </w:r>
      <w:r w:rsidRPr="000275CD">
        <w:rPr>
          <w:rFonts w:cstheme="minorBidi"/>
          <w:b/>
          <w:noProof/>
          <w:lang w:eastAsia="fr-FR"/>
        </w:rPr>
        <w:t xml:space="preserve">teps are being taken to address the issue of </w:t>
      </w:r>
      <w:r w:rsidRPr="000275CD">
        <w:rPr>
          <w:rFonts w:cstheme="minorBidi"/>
          <w:b/>
          <w:bCs/>
          <w:noProof/>
          <w:lang w:eastAsia="fr-FR"/>
        </w:rPr>
        <w:t>low compensation</w:t>
      </w:r>
      <w:r w:rsidRPr="000275CD">
        <w:rPr>
          <w:rFonts w:cstheme="minorBidi"/>
          <w:b/>
          <w:noProof/>
          <w:lang w:eastAsia="fr-FR"/>
        </w:rPr>
        <w:t xml:space="preserve"> for judicial delays. </w:t>
      </w:r>
      <w:r w:rsidRPr="000275CD">
        <w:rPr>
          <w:rFonts w:cstheme="minorBidi"/>
          <w:bCs/>
          <w:noProof/>
          <w:lang w:eastAsia="fr-FR"/>
        </w:rPr>
        <w:t xml:space="preserve">In August 2025, the European Court of Human Rights </w:t>
      </w:r>
      <w:r w:rsidRPr="000275CD">
        <w:rPr>
          <w:bCs/>
          <w:noProof/>
          <w:lang w:eastAsia="fr-FR"/>
        </w:rPr>
        <w:t>found that the compensation scheme for judicial delays was generally ineffective, as the amounts awarded by Greek courts fell consistently below European standards</w:t>
      </w:r>
      <w:r w:rsidRPr="000275CD">
        <w:rPr>
          <w:bCs/>
          <w:noProof/>
          <w:vertAlign w:val="superscript"/>
          <w:lang w:eastAsia="fr-FR"/>
        </w:rPr>
        <w:footnoteReference w:id="49"/>
      </w:r>
      <w:r w:rsidRPr="000275CD">
        <w:rPr>
          <w:bCs/>
          <w:noProof/>
          <w:lang w:eastAsia="fr-FR"/>
        </w:rPr>
        <w:t>. In response, the Government established a working group to reform the compensation framework and propose legislative amendments, aiming to align Greek compensation criteria with EU standards and ensure fairer redress for those affected by delays</w:t>
      </w:r>
      <w:r w:rsidRPr="000275CD">
        <w:rPr>
          <w:bCs/>
          <w:noProof/>
          <w:vertAlign w:val="superscript"/>
          <w:lang w:eastAsia="fr-FR"/>
        </w:rPr>
        <w:footnoteReference w:id="50"/>
      </w:r>
      <w:r w:rsidRPr="000275CD">
        <w:rPr>
          <w:bCs/>
          <w:noProof/>
          <w:lang w:eastAsia="fr-FR"/>
        </w:rPr>
        <w:t>.</w:t>
      </w:r>
      <w:r w:rsidRPr="000275CD">
        <w:rPr>
          <w:noProof/>
          <w:szCs w:val="24"/>
        </w:rPr>
        <w:t xml:space="preserve"> </w:t>
      </w:r>
      <w:r w:rsidRPr="000275CD">
        <w:rPr>
          <w:bCs/>
          <w:noProof/>
          <w:lang w:eastAsia="fr-FR"/>
        </w:rPr>
        <w:t>The review of the compensation system also addresses a long-standing request from the Bar</w:t>
      </w:r>
      <w:r w:rsidRPr="000275CD">
        <w:rPr>
          <w:bCs/>
          <w:noProof/>
          <w:vertAlign w:val="superscript"/>
          <w:lang w:eastAsia="fr-FR"/>
        </w:rPr>
        <w:footnoteReference w:id="51"/>
      </w:r>
      <w:r w:rsidRPr="000275CD">
        <w:rPr>
          <w:bCs/>
          <w:noProof/>
          <w:lang w:eastAsia="fr-FR"/>
        </w:rPr>
        <w:t>.</w:t>
      </w:r>
    </w:p>
    <w:p w14:paraId="426BC970" w14:textId="73D5A526" w:rsidR="00E51455" w:rsidRPr="000275CD" w:rsidRDefault="00E51455" w:rsidP="00FA43FF">
      <w:pPr>
        <w:pStyle w:val="ListParagraph"/>
        <w:keepNext/>
        <w:numPr>
          <w:ilvl w:val="0"/>
          <w:numId w:val="27"/>
        </w:numPr>
        <w:outlineLvl w:val="0"/>
        <w:rPr>
          <w:b/>
          <w:smallCaps/>
          <w:noProof/>
          <w:szCs w:val="24"/>
          <w:u w:val="single"/>
          <w:lang w:val="en-IE" w:eastAsia="fr-FR"/>
        </w:rPr>
      </w:pPr>
      <w:r w:rsidRPr="000275CD">
        <w:rPr>
          <w:b/>
          <w:smallCaps/>
          <w:noProof/>
          <w:szCs w:val="24"/>
          <w:u w:val="single"/>
          <w:lang w:val="en-IE" w:eastAsia="fr-FR"/>
        </w:rPr>
        <w:t>Anti-Corruption Framework</w:t>
      </w:r>
      <w:r w:rsidRPr="000275CD" w:rsidDel="00D67844">
        <w:rPr>
          <w:b/>
          <w:smallCaps/>
          <w:noProof/>
          <w:szCs w:val="24"/>
          <w:u w:val="single"/>
          <w:lang w:val="en-IE" w:eastAsia="fr-FR"/>
        </w:rPr>
        <w:t xml:space="preserve"> </w:t>
      </w:r>
    </w:p>
    <w:p w14:paraId="3C1BA8CD" w14:textId="2C263043" w:rsidR="00E51455" w:rsidRPr="000275CD" w:rsidRDefault="00E51455" w:rsidP="00E51455">
      <w:pPr>
        <w:rPr>
          <w:rFonts w:eastAsiaTheme="minorEastAsia" w:cstheme="minorBidi"/>
          <w:noProof/>
          <w:lang w:eastAsia="fr-FR"/>
        </w:rPr>
      </w:pPr>
      <w:bookmarkStart w:id="6" w:name="_Hlk194346676"/>
      <w:r w:rsidRPr="5515FAF8">
        <w:rPr>
          <w:rFonts w:eastAsiaTheme="minorEastAsia" w:cstheme="minorBidi"/>
          <w:b/>
          <w:noProof/>
          <w:lang w:eastAsia="fr-FR"/>
        </w:rPr>
        <w:t>The perception among experts, citizens and business executives is that the level of corruption in the public sector is relatively high.</w:t>
      </w:r>
      <w:r w:rsidRPr="5515FAF8">
        <w:rPr>
          <w:rFonts w:eastAsiaTheme="minorEastAsia" w:cstheme="minorBidi"/>
          <w:noProof/>
          <w:lang w:eastAsia="fr-FR"/>
        </w:rPr>
        <w:t xml:space="preserve"> In the 2025 Corruption Perceptions Index by Transparency International, Greece scores 50/100 and ranks 21</w:t>
      </w:r>
      <w:r w:rsidR="00B1260B" w:rsidRPr="5515FAF8">
        <w:rPr>
          <w:rFonts w:eastAsiaTheme="minorEastAsia" w:cstheme="minorBidi"/>
          <w:noProof/>
          <w:vertAlign w:val="superscript"/>
          <w:lang w:eastAsia="fr-FR"/>
        </w:rPr>
        <w:t>st</w:t>
      </w:r>
      <w:r w:rsidR="00B1260B" w:rsidRPr="5515FAF8">
        <w:rPr>
          <w:rFonts w:eastAsiaTheme="minorEastAsia" w:cstheme="minorBidi"/>
          <w:noProof/>
          <w:lang w:eastAsia="fr-FR"/>
        </w:rPr>
        <w:t xml:space="preserve"> in</w:t>
      </w:r>
      <w:r w:rsidRPr="5515FAF8">
        <w:rPr>
          <w:rFonts w:eastAsiaTheme="minorEastAsia" w:cstheme="minorBidi"/>
          <w:noProof/>
          <w:lang w:eastAsia="fr-FR"/>
        </w:rPr>
        <w:t xml:space="preserve"> the European Union and 56</w:t>
      </w:r>
      <w:r w:rsidRPr="5515FAF8">
        <w:rPr>
          <w:rFonts w:eastAsiaTheme="minorEastAsia" w:cstheme="minorBidi"/>
          <w:noProof/>
          <w:vertAlign w:val="superscript"/>
          <w:lang w:eastAsia="fr-FR"/>
        </w:rPr>
        <w:t>th</w:t>
      </w:r>
      <w:r w:rsidRPr="5515FAF8">
        <w:rPr>
          <w:rFonts w:eastAsiaTheme="minorEastAsia" w:cstheme="minorBidi"/>
          <w:noProof/>
          <w:lang w:eastAsia="fr-FR"/>
        </w:rPr>
        <w:t xml:space="preserve"> globally</w:t>
      </w:r>
      <w:r w:rsidRPr="5515FAF8">
        <w:rPr>
          <w:rFonts w:eastAsiaTheme="minorEastAsia" w:cstheme="minorBidi"/>
          <w:noProof/>
          <w:vertAlign w:val="superscript"/>
          <w:lang w:eastAsia="fr-FR"/>
        </w:rPr>
        <w:footnoteReference w:id="52"/>
      </w:r>
      <w:r w:rsidRPr="5515FAF8">
        <w:rPr>
          <w:rFonts w:eastAsiaTheme="minorEastAsia" w:cstheme="minorBidi"/>
          <w:noProof/>
          <w:lang w:eastAsia="fr-FR"/>
        </w:rPr>
        <w:t>. This perception has been relatively stable over the past five years</w:t>
      </w:r>
      <w:r w:rsidR="003E4E21">
        <w:rPr>
          <w:rStyle w:val="FootnoteReference"/>
          <w:rFonts w:eastAsiaTheme="minorEastAsia" w:cstheme="minorBidi"/>
          <w:noProof/>
          <w:lang w:eastAsia="fr-FR"/>
        </w:rPr>
        <w:footnoteReference w:id="53"/>
      </w:r>
      <w:r w:rsidRPr="5515FAF8">
        <w:rPr>
          <w:rFonts w:eastAsiaTheme="minorEastAsia" w:cstheme="minorBidi"/>
          <w:noProof/>
          <w:lang w:eastAsia="fr-FR"/>
        </w:rPr>
        <w:t>. The 2026 Special Eurobarometer on Corruption shows that 99% of respondents consider corruption widespread in their country (EU average 71%) and 68% of respondents feel personally affected by corruption in their daily lives (EU average 30%). As regards businesses, 95% of companies in Greece consider that corruption is widespread (EU average 65%) and 79% consider that corruption is a problem when doing business (EU average 37%). Furthermore, 23% of respondents find that there are enough successful prosecutions to deter people from corrupt practices (EU average 38%), while 20% of companies believe that people and businesses caught for bribing a senior official are appropriately punished (EU average 31%)</w:t>
      </w:r>
      <w:r w:rsidRPr="5515FAF8">
        <w:rPr>
          <w:rFonts w:eastAsiaTheme="minorEastAsia" w:cstheme="minorBidi"/>
          <w:noProof/>
          <w:vertAlign w:val="superscript"/>
          <w:lang w:eastAsia="fr-FR"/>
        </w:rPr>
        <w:footnoteReference w:id="54"/>
      </w:r>
      <w:r w:rsidRPr="5515FAF8">
        <w:rPr>
          <w:rFonts w:eastAsiaTheme="minorEastAsia" w:cstheme="minorBidi"/>
          <w:noProof/>
          <w:lang w:eastAsia="fr-FR"/>
        </w:rPr>
        <w:t>.</w:t>
      </w:r>
    </w:p>
    <w:p w14:paraId="0C279585" w14:textId="363D1D85" w:rsidR="00E51455" w:rsidRPr="000275CD" w:rsidRDefault="00E51455" w:rsidP="00E51455">
      <w:pPr>
        <w:rPr>
          <w:rFonts w:eastAsiaTheme="minorEastAsia" w:cstheme="minorBidi"/>
          <w:noProof/>
          <w:color w:val="00B050"/>
          <w:lang w:eastAsia="fr-FR"/>
        </w:rPr>
      </w:pPr>
      <w:bookmarkStart w:id="7" w:name="_Hlk223772077"/>
      <w:r w:rsidRPr="5515FAF8">
        <w:rPr>
          <w:rFonts w:eastAsiaTheme="minorEastAsia" w:cstheme="minorBidi"/>
          <w:b/>
          <w:noProof/>
          <w:lang w:eastAsia="fr-FR"/>
        </w:rPr>
        <w:t>The National Anti-Corruption Action Plan (NACAP) 2022-2025 was successfully implemented and a new plan is being finalised</w:t>
      </w:r>
      <w:r w:rsidRPr="5515FAF8">
        <w:rPr>
          <w:rFonts w:eastAsiaTheme="minorEastAsia" w:cstheme="minorBidi"/>
          <w:noProof/>
          <w:lang w:eastAsia="fr-FR"/>
        </w:rPr>
        <w:t xml:space="preserve">. </w:t>
      </w:r>
      <w:bookmarkEnd w:id="7"/>
      <w:r w:rsidRPr="5515FAF8">
        <w:rPr>
          <w:rFonts w:eastAsiaTheme="minorEastAsia" w:cstheme="minorBidi"/>
          <w:noProof/>
          <w:lang w:eastAsia="fr-FR"/>
        </w:rPr>
        <w:t>In April 2026, the National Transparency Authority (NTA) published the final implementation report stating that over 80% of the Action Plan’s actions were successfully implemented</w:t>
      </w:r>
      <w:r w:rsidRPr="5515FAF8">
        <w:rPr>
          <w:rFonts w:eastAsiaTheme="minorEastAsia" w:cstheme="minorBidi"/>
          <w:noProof/>
          <w:vertAlign w:val="superscript"/>
          <w:lang w:eastAsia="fr-FR"/>
        </w:rPr>
        <w:footnoteReference w:id="55"/>
      </w:r>
      <w:r w:rsidRPr="5515FAF8">
        <w:rPr>
          <w:rFonts w:eastAsiaTheme="minorEastAsia" w:cstheme="minorBidi"/>
          <w:noProof/>
          <w:lang w:eastAsia="fr-FR"/>
        </w:rPr>
        <w:t>, with 18 incomplete or ongoing actions transferred to the new Action Plan</w:t>
      </w:r>
      <w:r w:rsidRPr="5515FAF8">
        <w:rPr>
          <w:rFonts w:eastAsiaTheme="minorEastAsia" w:cstheme="minorBidi"/>
          <w:noProof/>
          <w:vertAlign w:val="superscript"/>
          <w:lang w:eastAsia="fr-FR"/>
        </w:rPr>
        <w:footnoteReference w:id="56"/>
      </w:r>
      <w:r w:rsidRPr="5515FAF8">
        <w:rPr>
          <w:rFonts w:eastAsiaTheme="minorEastAsia" w:cstheme="minorBidi"/>
          <w:noProof/>
          <w:lang w:eastAsia="fr-FR"/>
        </w:rPr>
        <w:t>. According to the final report, the 2022-2025 NACAP achieved strong, well-coordinated progress with high implementation and institutional improvements, particularly in digitalisation and control mechanisms. It was occasionally limited by delays, resource constraints and weak stakeholder engagement</w:t>
      </w:r>
      <w:r w:rsidRPr="5515FAF8">
        <w:rPr>
          <w:rFonts w:eastAsiaTheme="minorEastAsia" w:cstheme="minorBidi"/>
          <w:noProof/>
          <w:vertAlign w:val="superscript"/>
          <w:lang w:eastAsia="fr-FR"/>
        </w:rPr>
        <w:footnoteReference w:id="57"/>
      </w:r>
      <w:r w:rsidRPr="5515FAF8">
        <w:rPr>
          <w:rFonts w:eastAsiaTheme="minorEastAsia" w:cstheme="minorBidi"/>
          <w:noProof/>
          <w:lang w:eastAsia="fr-FR"/>
        </w:rPr>
        <w:t xml:space="preserve">. </w:t>
      </w:r>
      <w:r w:rsidR="001E2262" w:rsidRPr="001E2262">
        <w:rPr>
          <w:rFonts w:eastAsiaTheme="minorEastAsia" w:cstheme="minorBidi"/>
          <w:noProof/>
          <w:lang w:eastAsia="fr-FR"/>
        </w:rPr>
        <w:t>The public consultation on the new NACAP 2026–2030, which was launched in March 2026, was completed on 14 April 2026</w:t>
      </w:r>
      <w:r w:rsidRPr="5515FAF8">
        <w:rPr>
          <w:rFonts w:eastAsiaTheme="minorEastAsia" w:cstheme="minorBidi"/>
          <w:noProof/>
          <w:lang w:eastAsia="fr-FR"/>
        </w:rPr>
        <w:t>.</w:t>
      </w:r>
      <w:r w:rsidRPr="5515FAF8">
        <w:rPr>
          <w:rFonts w:eastAsiaTheme="minorEastAsia" w:cstheme="minorBidi"/>
          <w:noProof/>
          <w:vertAlign w:val="superscript"/>
          <w:lang w:eastAsia="fr-FR"/>
        </w:rPr>
        <w:footnoteReference w:id="58"/>
      </w:r>
      <w:r w:rsidRPr="5515FAF8">
        <w:rPr>
          <w:rFonts w:eastAsiaTheme="minorEastAsia" w:cstheme="minorBidi"/>
          <w:noProof/>
          <w:lang w:eastAsia="fr-FR"/>
        </w:rPr>
        <w:t xml:space="preserve"> It is envisaged to contain over 180 actions from all high-risk areas, to be implemented by all Ministries</w:t>
      </w:r>
      <w:r w:rsidRPr="5515FAF8">
        <w:rPr>
          <w:rFonts w:eastAsiaTheme="minorEastAsia" w:cstheme="minorBidi"/>
          <w:noProof/>
          <w:vertAlign w:val="superscript"/>
          <w:lang w:eastAsia="fr-FR"/>
        </w:rPr>
        <w:footnoteReference w:id="59"/>
      </w:r>
      <w:r w:rsidRPr="5515FAF8">
        <w:rPr>
          <w:rFonts w:eastAsiaTheme="minorEastAsia" w:cstheme="minorBidi"/>
          <w:noProof/>
          <w:lang w:eastAsia="fr-FR"/>
        </w:rPr>
        <w:t>. The new Governor of the NTA was appointed in August 2025, and recruitment for inspectors-auditors and administrative staff continued at both central and regional level. In total, 374 positions are occupied (up from 364 in 2024) out of a total of 503 posts</w:t>
      </w:r>
      <w:r w:rsidRPr="5515FAF8" w:rsidDel="00D8241A">
        <w:rPr>
          <w:rFonts w:eastAsiaTheme="minorEastAsia" w:cstheme="minorBidi"/>
          <w:noProof/>
          <w:vertAlign w:val="superscript"/>
          <w:lang w:eastAsia="fr-FR"/>
        </w:rPr>
        <w:footnoteReference w:id="60"/>
      </w:r>
      <w:r w:rsidRPr="5515FAF8">
        <w:rPr>
          <w:rFonts w:eastAsiaTheme="minorEastAsia" w:cstheme="minorBidi"/>
          <w:noProof/>
          <w:lang w:eastAsia="fr-FR"/>
        </w:rPr>
        <w:t>: 83 more inspector-auditor posts need to be filled. Civil society organisations expressed doubts whether the NTA is sufficiently staffed to cope with the increasing workload, which amounted to almost 5 000 reports in 2025</w:t>
      </w:r>
      <w:r w:rsidRPr="5515FAF8">
        <w:rPr>
          <w:rFonts w:eastAsiaTheme="minorEastAsia" w:cstheme="minorBidi"/>
          <w:noProof/>
          <w:vertAlign w:val="superscript"/>
          <w:lang w:eastAsia="fr-FR"/>
        </w:rPr>
        <w:footnoteReference w:id="61"/>
      </w:r>
      <w:r w:rsidRPr="5515FAF8">
        <w:rPr>
          <w:rFonts w:eastAsiaTheme="minorEastAsia" w:cstheme="minorBidi"/>
          <w:noProof/>
          <w:lang w:eastAsia="fr-FR"/>
        </w:rPr>
        <w:t xml:space="preserve">. </w:t>
      </w:r>
      <w:r w:rsidRPr="5515FAF8" w:rsidDel="00371E31">
        <w:rPr>
          <w:rFonts w:eastAsiaTheme="minorEastAsia" w:cstheme="minorBidi"/>
          <w:noProof/>
          <w:lang w:eastAsia="fr-FR"/>
        </w:rPr>
        <w:t xml:space="preserve"> </w:t>
      </w:r>
    </w:p>
    <w:p w14:paraId="659FC902" w14:textId="7B575BC4" w:rsidR="00E51455" w:rsidRPr="000275CD" w:rsidRDefault="00C57974" w:rsidP="00E51455">
      <w:pPr>
        <w:rPr>
          <w:rFonts w:eastAsiaTheme="minorHAnsi" w:cstheme="minorBidi"/>
          <w:noProof/>
          <w:szCs w:val="22"/>
          <w:lang w:eastAsia="fr-FR"/>
        </w:rPr>
      </w:pPr>
      <w:bookmarkStart w:id="8" w:name="_Hlk194494623"/>
      <w:bookmarkStart w:id="9" w:name="_Hlk131195209"/>
      <w:r>
        <w:rPr>
          <w:rFonts w:eastAsiaTheme="minorHAnsi" w:cstheme="minorBidi"/>
          <w:b/>
          <w:bCs/>
          <w:noProof/>
          <w:szCs w:val="22"/>
          <w:lang w:eastAsia="fr-FR"/>
        </w:rPr>
        <w:t>W</w:t>
      </w:r>
      <w:r w:rsidR="00E51455" w:rsidRPr="000275CD">
        <w:rPr>
          <w:rFonts w:eastAsiaTheme="minorHAnsi" w:cstheme="minorBidi"/>
          <w:b/>
          <w:bCs/>
          <w:noProof/>
          <w:szCs w:val="22"/>
          <w:lang w:eastAsia="fr-FR"/>
        </w:rPr>
        <w:t>hile the number of prosecutions and final judgments in corruption cases, including high-level corruption, remains limited</w:t>
      </w:r>
      <w:r w:rsidR="004A0D14">
        <w:rPr>
          <w:rFonts w:eastAsiaTheme="minorHAnsi" w:cstheme="minorBidi"/>
          <w:b/>
          <w:bCs/>
          <w:noProof/>
          <w:szCs w:val="22"/>
          <w:lang w:eastAsia="fr-FR"/>
        </w:rPr>
        <w:t xml:space="preserve">, </w:t>
      </w:r>
      <w:r w:rsidR="00537B39">
        <w:rPr>
          <w:rFonts w:eastAsiaTheme="minorHAnsi" w:cstheme="minorBidi"/>
          <w:b/>
          <w:bCs/>
          <w:noProof/>
          <w:szCs w:val="22"/>
          <w:lang w:eastAsia="fr-FR"/>
        </w:rPr>
        <w:t xml:space="preserve">the </w:t>
      </w:r>
      <w:r w:rsidR="00A16032">
        <w:rPr>
          <w:rFonts w:eastAsiaTheme="minorHAnsi" w:cstheme="minorBidi"/>
          <w:b/>
          <w:bCs/>
          <w:noProof/>
          <w:szCs w:val="22"/>
          <w:lang w:eastAsia="fr-FR"/>
        </w:rPr>
        <w:t xml:space="preserve">legal </w:t>
      </w:r>
      <w:r w:rsidR="00537B39">
        <w:rPr>
          <w:rFonts w:eastAsiaTheme="minorHAnsi" w:cstheme="minorBidi"/>
          <w:b/>
          <w:bCs/>
          <w:noProof/>
          <w:szCs w:val="22"/>
          <w:lang w:eastAsia="fr-FR"/>
        </w:rPr>
        <w:t>framework is in place</w:t>
      </w:r>
      <w:r w:rsidR="004A0D14">
        <w:rPr>
          <w:rFonts w:eastAsiaTheme="minorHAnsi" w:cstheme="minorBidi"/>
          <w:b/>
          <w:bCs/>
          <w:noProof/>
          <w:szCs w:val="22"/>
          <w:lang w:eastAsia="fr-FR"/>
        </w:rPr>
        <w:t xml:space="preserve"> and implementing </w:t>
      </w:r>
      <w:r w:rsidR="00A16032">
        <w:rPr>
          <w:rFonts w:eastAsiaTheme="minorHAnsi" w:cstheme="minorBidi"/>
          <w:b/>
          <w:bCs/>
          <w:noProof/>
          <w:szCs w:val="22"/>
          <w:lang w:eastAsia="fr-FR"/>
        </w:rPr>
        <w:t>rules are</w:t>
      </w:r>
      <w:r w:rsidR="004A0D14">
        <w:rPr>
          <w:rFonts w:eastAsiaTheme="minorHAnsi" w:cstheme="minorBidi"/>
          <w:b/>
          <w:bCs/>
          <w:noProof/>
          <w:szCs w:val="22"/>
          <w:lang w:eastAsia="fr-FR"/>
        </w:rPr>
        <w:t xml:space="preserve"> being finalised </w:t>
      </w:r>
      <w:r w:rsidR="00A16032">
        <w:rPr>
          <w:rFonts w:eastAsiaTheme="minorHAnsi" w:cstheme="minorBidi"/>
          <w:b/>
          <w:bCs/>
          <w:noProof/>
          <w:szCs w:val="22"/>
          <w:lang w:eastAsia="fr-FR"/>
        </w:rPr>
        <w:t>for a digital registry that will</w:t>
      </w:r>
      <w:r w:rsidR="006D382A">
        <w:rPr>
          <w:rFonts w:eastAsiaTheme="minorHAnsi" w:cstheme="minorBidi"/>
          <w:b/>
          <w:bCs/>
          <w:noProof/>
          <w:szCs w:val="22"/>
          <w:lang w:eastAsia="fr-FR"/>
        </w:rPr>
        <w:t xml:space="preserve"> allow</w:t>
      </w:r>
      <w:r w:rsidR="00F922E3">
        <w:rPr>
          <w:rFonts w:eastAsiaTheme="minorHAnsi" w:cstheme="minorBidi"/>
          <w:b/>
          <w:bCs/>
          <w:noProof/>
          <w:szCs w:val="22"/>
          <w:lang w:eastAsia="fr-FR"/>
        </w:rPr>
        <w:t xml:space="preserve"> a comprehensive monitoring and </w:t>
      </w:r>
      <w:r w:rsidR="006D382A">
        <w:rPr>
          <w:rFonts w:eastAsiaTheme="minorHAnsi" w:cstheme="minorBidi"/>
          <w:b/>
          <w:bCs/>
          <w:noProof/>
          <w:szCs w:val="22"/>
          <w:lang w:eastAsia="fr-FR"/>
        </w:rPr>
        <w:t>tracking of corruption cases</w:t>
      </w:r>
      <w:r w:rsidR="00E51455" w:rsidRPr="000275CD">
        <w:rPr>
          <w:rFonts w:eastAsiaTheme="minorHAnsi" w:cstheme="minorBidi"/>
          <w:noProof/>
          <w:szCs w:val="22"/>
          <w:vertAlign w:val="superscript"/>
          <w:lang w:eastAsia="fr-FR"/>
        </w:rPr>
        <w:footnoteReference w:id="62"/>
      </w:r>
      <w:r w:rsidR="00E51455" w:rsidRPr="000275CD">
        <w:rPr>
          <w:rFonts w:eastAsiaTheme="minorHAnsi" w:cstheme="minorBidi"/>
          <w:noProof/>
          <w:szCs w:val="22"/>
          <w:lang w:eastAsia="fr-FR"/>
        </w:rPr>
        <w:t>. Investigations on corruption offences by the Financial Police Division in 2025 decreased slightly, from 112 cases in 2024 to 105 in 2025</w:t>
      </w:r>
      <w:r w:rsidR="00E51455" w:rsidRPr="000275CD">
        <w:rPr>
          <w:rFonts w:eastAsiaTheme="minorHAnsi" w:cstheme="minorBidi"/>
          <w:noProof/>
          <w:szCs w:val="22"/>
          <w:vertAlign w:val="superscript"/>
          <w:lang w:eastAsia="fr-FR"/>
        </w:rPr>
        <w:footnoteReference w:id="63"/>
      </w:r>
      <w:r w:rsidR="00E51455" w:rsidRPr="000275CD">
        <w:rPr>
          <w:rFonts w:eastAsiaTheme="minorHAnsi" w:cstheme="minorBidi"/>
          <w:noProof/>
          <w:szCs w:val="22"/>
          <w:lang w:eastAsia="fr-FR"/>
        </w:rPr>
        <w:t>. The data provided by the Economic Crime Public Prosecutor’s Office show that prosecution was initiated in 18 cases in 2025 (compared to 10 in 2024 and 9 in 2023), with new cases amounting to 137 in 2025 (compared to 133 in 2024 and 144 in 2023)</w:t>
      </w:r>
      <w:r w:rsidR="00E51455" w:rsidRPr="000275CD">
        <w:rPr>
          <w:rFonts w:eastAsiaTheme="minorHAnsi" w:cstheme="minorBidi"/>
          <w:noProof/>
          <w:szCs w:val="22"/>
          <w:vertAlign w:val="superscript"/>
          <w:lang w:eastAsia="fr-FR"/>
        </w:rPr>
        <w:footnoteReference w:id="64"/>
      </w:r>
      <w:r w:rsidR="00E51455" w:rsidRPr="000275CD">
        <w:rPr>
          <w:rFonts w:eastAsiaTheme="minorHAnsi" w:cstheme="minorBidi"/>
          <w:noProof/>
          <w:szCs w:val="22"/>
          <w:lang w:eastAsia="fr-FR"/>
        </w:rPr>
        <w:t>. Four foreign bribery cases</w:t>
      </w:r>
      <w:r w:rsidR="00E51455" w:rsidRPr="000275CD">
        <w:rPr>
          <w:rFonts w:eastAsiaTheme="minorHAnsi" w:cstheme="minorBidi"/>
          <w:noProof/>
          <w:szCs w:val="22"/>
          <w:vertAlign w:val="superscript"/>
          <w:lang w:eastAsia="fr-FR"/>
        </w:rPr>
        <w:footnoteReference w:id="65"/>
      </w:r>
      <w:r w:rsidR="00E51455" w:rsidRPr="000275CD">
        <w:rPr>
          <w:rFonts w:eastAsiaTheme="minorHAnsi" w:cstheme="minorBidi"/>
          <w:noProof/>
          <w:szCs w:val="22"/>
          <w:lang w:eastAsia="fr-FR"/>
        </w:rPr>
        <w:t xml:space="preserve"> are still in</w:t>
      </w:r>
      <w:r w:rsidR="00E51455" w:rsidRPr="000275CD" w:rsidDel="003B5BA9">
        <w:rPr>
          <w:rFonts w:eastAsiaTheme="minorHAnsi" w:cstheme="minorBidi"/>
          <w:noProof/>
          <w:szCs w:val="22"/>
          <w:lang w:eastAsia="fr-FR"/>
        </w:rPr>
        <w:t xml:space="preserve"> </w:t>
      </w:r>
      <w:r w:rsidR="00E51455" w:rsidRPr="000275CD">
        <w:rPr>
          <w:rFonts w:eastAsiaTheme="minorHAnsi" w:cstheme="minorBidi"/>
          <w:noProof/>
          <w:szCs w:val="22"/>
          <w:lang w:eastAsia="fr-FR"/>
        </w:rPr>
        <w:t>the investigation phase</w:t>
      </w:r>
      <w:r w:rsidR="00E51455" w:rsidRPr="000275CD">
        <w:rPr>
          <w:rFonts w:eastAsiaTheme="minorHAnsi" w:cstheme="minorBidi"/>
          <w:noProof/>
          <w:szCs w:val="22"/>
          <w:vertAlign w:val="superscript"/>
          <w:lang w:eastAsia="fr-FR"/>
        </w:rPr>
        <w:footnoteReference w:id="66"/>
      </w:r>
      <w:r w:rsidR="00E51455" w:rsidRPr="000275CD">
        <w:rPr>
          <w:rFonts w:eastAsiaTheme="minorHAnsi" w:cstheme="minorBidi"/>
          <w:noProof/>
          <w:szCs w:val="22"/>
          <w:lang w:eastAsia="fr-FR"/>
        </w:rPr>
        <w:t xml:space="preserve"> and to date, there has been no conviction for foreign bribery in Greece. Civil society expressed concerns about the limited number of final judgments in complex or high-level corruption cases, as well as the length of proceedings</w:t>
      </w:r>
      <w:r w:rsidR="00E51455" w:rsidRPr="000275CD">
        <w:rPr>
          <w:rFonts w:eastAsiaTheme="minorHAnsi" w:cstheme="minorBidi"/>
          <w:noProof/>
          <w:szCs w:val="22"/>
          <w:vertAlign w:val="superscript"/>
          <w:lang w:eastAsia="fr-FR"/>
        </w:rPr>
        <w:footnoteReference w:id="67"/>
      </w:r>
      <w:r w:rsidR="00E51455" w:rsidRPr="000275CD">
        <w:rPr>
          <w:rFonts w:eastAsiaTheme="minorHAnsi" w:cstheme="minorBidi"/>
          <w:noProof/>
          <w:szCs w:val="22"/>
          <w:lang w:eastAsia="fr-FR"/>
        </w:rPr>
        <w:t>. W</w:t>
      </w:r>
      <w:r w:rsidR="00273057">
        <w:rPr>
          <w:rFonts w:eastAsiaTheme="minorHAnsi" w:cstheme="minorBidi"/>
          <w:noProof/>
          <w:szCs w:val="22"/>
          <w:lang w:eastAsia="fr-FR"/>
        </w:rPr>
        <w:t xml:space="preserve">hile the legal framework </w:t>
      </w:r>
      <w:r w:rsidR="00E51455" w:rsidRPr="000275CD">
        <w:rPr>
          <w:rFonts w:eastAsiaTheme="minorHAnsi" w:cstheme="minorBidi"/>
          <w:noProof/>
          <w:szCs w:val="22"/>
          <w:lang w:eastAsia="fr-FR"/>
        </w:rPr>
        <w:t xml:space="preserve"> on the unified registry for the monitoring of corruption cases </w:t>
      </w:r>
      <w:r w:rsidR="00697623">
        <w:rPr>
          <w:rFonts w:eastAsiaTheme="minorHAnsi" w:cstheme="minorBidi"/>
          <w:noProof/>
          <w:szCs w:val="22"/>
          <w:lang w:eastAsia="fr-FR"/>
        </w:rPr>
        <w:t>has been adopted</w:t>
      </w:r>
      <w:r w:rsidR="00697623" w:rsidRPr="000275CD">
        <w:rPr>
          <w:rFonts w:eastAsiaTheme="minorHAnsi" w:cstheme="minorBidi"/>
          <w:noProof/>
          <w:szCs w:val="22"/>
          <w:vertAlign w:val="superscript"/>
          <w:lang w:eastAsia="fr-FR"/>
        </w:rPr>
        <w:footnoteReference w:id="68"/>
      </w:r>
      <w:r w:rsidR="00E51455" w:rsidRPr="000275CD">
        <w:rPr>
          <w:rFonts w:eastAsiaTheme="minorHAnsi" w:cstheme="minorBidi"/>
          <w:noProof/>
          <w:szCs w:val="22"/>
          <w:lang w:eastAsia="fr-FR"/>
        </w:rPr>
        <w:t xml:space="preserve">, </w:t>
      </w:r>
      <w:r w:rsidR="00017CA5">
        <w:rPr>
          <w:rFonts w:eastAsiaTheme="minorHAnsi" w:cstheme="minorBidi"/>
          <w:noProof/>
          <w:szCs w:val="22"/>
          <w:lang w:eastAsia="fr-FR"/>
        </w:rPr>
        <w:t xml:space="preserve">work on the registry continues </w:t>
      </w:r>
      <w:r w:rsidR="00E51455" w:rsidRPr="000275CD">
        <w:rPr>
          <w:rFonts w:eastAsiaTheme="minorHAnsi" w:cstheme="minorBidi"/>
          <w:noProof/>
          <w:szCs w:val="22"/>
          <w:lang w:eastAsia="fr-FR"/>
        </w:rPr>
        <w:t xml:space="preserve">with </w:t>
      </w:r>
      <w:r w:rsidR="00B55641">
        <w:rPr>
          <w:rFonts w:eastAsiaTheme="minorHAnsi" w:cstheme="minorBidi"/>
          <w:noProof/>
          <w:szCs w:val="22"/>
          <w:lang w:eastAsia="fr-FR"/>
        </w:rPr>
        <w:t xml:space="preserve">a </w:t>
      </w:r>
      <w:r w:rsidR="00017CA5">
        <w:rPr>
          <w:rFonts w:eastAsiaTheme="minorHAnsi" w:cstheme="minorBidi"/>
          <w:noProof/>
          <w:szCs w:val="22"/>
          <w:lang w:eastAsia="fr-FR"/>
        </w:rPr>
        <w:t xml:space="preserve">view to </w:t>
      </w:r>
      <w:r w:rsidR="00E51455" w:rsidRPr="000275CD">
        <w:rPr>
          <w:rFonts w:eastAsiaTheme="minorHAnsi" w:cstheme="minorBidi"/>
          <w:noProof/>
          <w:szCs w:val="22"/>
          <w:lang w:eastAsia="fr-FR"/>
        </w:rPr>
        <w:t>full operationalisation</w:t>
      </w:r>
      <w:r w:rsidR="00017CA5">
        <w:rPr>
          <w:rFonts w:eastAsiaTheme="minorHAnsi" w:cstheme="minorBidi"/>
          <w:noProof/>
          <w:szCs w:val="22"/>
          <w:lang w:eastAsia="fr-FR"/>
        </w:rPr>
        <w:t>,</w:t>
      </w:r>
      <w:r w:rsidR="00E51455" w:rsidRPr="000275CD">
        <w:rPr>
          <w:rFonts w:eastAsiaTheme="minorHAnsi" w:cstheme="minorBidi"/>
          <w:noProof/>
          <w:szCs w:val="22"/>
          <w:lang w:eastAsia="fr-FR"/>
        </w:rPr>
        <w:t xml:space="preserve"> expected </w:t>
      </w:r>
      <w:r w:rsidR="00DD1251">
        <w:rPr>
          <w:rFonts w:eastAsiaTheme="minorHAnsi" w:cstheme="minorBidi"/>
          <w:noProof/>
          <w:szCs w:val="22"/>
          <w:lang w:eastAsia="fr-FR"/>
        </w:rPr>
        <w:t>on 1 January</w:t>
      </w:r>
      <w:r w:rsidR="00E51455" w:rsidRPr="000275CD">
        <w:rPr>
          <w:rFonts w:eastAsiaTheme="minorHAnsi" w:cstheme="minorBidi"/>
          <w:noProof/>
          <w:szCs w:val="22"/>
          <w:lang w:eastAsia="fr-FR"/>
        </w:rPr>
        <w:t xml:space="preserve"> 2027</w:t>
      </w:r>
      <w:r w:rsidR="00526749">
        <w:rPr>
          <w:rStyle w:val="FootnoteReference"/>
          <w:rFonts w:eastAsiaTheme="minorHAnsi" w:cstheme="minorBidi"/>
          <w:noProof/>
          <w:szCs w:val="22"/>
          <w:lang w:eastAsia="fr-FR"/>
        </w:rPr>
        <w:footnoteReference w:id="69"/>
      </w:r>
      <w:r w:rsidR="00E51455" w:rsidRPr="000275CD">
        <w:rPr>
          <w:rFonts w:eastAsiaTheme="minorHAnsi" w:cstheme="minorBidi"/>
          <w:noProof/>
          <w:szCs w:val="22"/>
          <w:lang w:eastAsia="fr-FR"/>
        </w:rPr>
        <w:t>. The registry will function as a single nationwide digital system of structured data and information on corruption cases covering all procedural stages</w:t>
      </w:r>
      <w:r w:rsidR="00E51455" w:rsidRPr="000275CD">
        <w:rPr>
          <w:rFonts w:eastAsiaTheme="minorHAnsi" w:cstheme="minorBidi"/>
          <w:noProof/>
          <w:szCs w:val="22"/>
          <w:vertAlign w:val="superscript"/>
          <w:lang w:eastAsia="fr-FR"/>
        </w:rPr>
        <w:footnoteReference w:id="70"/>
      </w:r>
      <w:r w:rsidR="00E51455" w:rsidRPr="000275CD">
        <w:rPr>
          <w:rFonts w:eastAsiaTheme="minorHAnsi" w:cstheme="minorBidi"/>
          <w:noProof/>
          <w:szCs w:val="22"/>
          <w:lang w:eastAsia="fr-FR"/>
        </w:rPr>
        <w:t xml:space="preserve">. </w:t>
      </w:r>
      <w:r w:rsidR="006971F8" w:rsidRPr="007A2CF2">
        <w:rPr>
          <w:noProof/>
        </w:rPr>
        <w:t xml:space="preserve">The </w:t>
      </w:r>
      <w:r w:rsidR="006971F8">
        <w:rPr>
          <w:noProof/>
        </w:rPr>
        <w:t>r</w:t>
      </w:r>
      <w:r w:rsidR="006971F8" w:rsidRPr="007A2CF2">
        <w:rPr>
          <w:noProof/>
        </w:rPr>
        <w:t>egistr</w:t>
      </w:r>
      <w:r w:rsidR="006971F8">
        <w:rPr>
          <w:noProof/>
        </w:rPr>
        <w:t>y</w:t>
      </w:r>
      <w:r w:rsidR="006971F8" w:rsidRPr="007A2CF2">
        <w:rPr>
          <w:noProof/>
        </w:rPr>
        <w:t xml:space="preserve"> </w:t>
      </w:r>
      <w:r w:rsidR="006971F8">
        <w:rPr>
          <w:noProof/>
        </w:rPr>
        <w:t xml:space="preserve">aims to </w:t>
      </w:r>
      <w:r w:rsidR="006971F8" w:rsidRPr="007A2CF2">
        <w:rPr>
          <w:noProof/>
        </w:rPr>
        <w:t>introduce, inter alia, a unified mechanism for case traceability, real time updating of procedural developments, and the systematic identification of delays, thereby enhancing the completeness, consistency and usability of the relevant data</w:t>
      </w:r>
      <w:r w:rsidR="00202C7B" w:rsidRPr="00202C7B">
        <w:rPr>
          <w:noProof/>
        </w:rPr>
        <w:t> </w:t>
      </w:r>
      <w:r w:rsidR="00202C7B">
        <w:rPr>
          <w:rStyle w:val="FootnoteReference"/>
          <w:noProof/>
        </w:rPr>
        <w:footnoteReference w:id="71"/>
      </w:r>
      <w:r w:rsidR="006971F8" w:rsidRPr="007A2CF2">
        <w:rPr>
          <w:noProof/>
        </w:rPr>
        <w:t xml:space="preserve">. </w:t>
      </w:r>
      <w:r w:rsidR="00E51455" w:rsidRPr="000275CD">
        <w:rPr>
          <w:rFonts w:eastAsiaTheme="minorHAnsi" w:cstheme="minorBidi"/>
          <w:noProof/>
          <w:szCs w:val="22"/>
          <w:lang w:eastAsia="fr-FR"/>
        </w:rPr>
        <w:t xml:space="preserve">The authorities expect the new digital system to enable them to </w:t>
      </w:r>
      <w:r w:rsidR="007823FF">
        <w:rPr>
          <w:rFonts w:eastAsiaTheme="minorHAnsi" w:cstheme="minorBidi"/>
          <w:noProof/>
          <w:szCs w:val="22"/>
          <w:lang w:eastAsia="fr-FR"/>
        </w:rPr>
        <w:t>trace corruption cases</w:t>
      </w:r>
      <w:r w:rsidR="00B34E1B">
        <w:rPr>
          <w:rFonts w:eastAsiaTheme="minorHAnsi" w:cstheme="minorBidi"/>
          <w:noProof/>
          <w:szCs w:val="22"/>
          <w:lang w:eastAsia="fr-FR"/>
        </w:rPr>
        <w:t xml:space="preserve"> across </w:t>
      </w:r>
      <w:r w:rsidR="00E51455" w:rsidRPr="000275CD">
        <w:rPr>
          <w:rFonts w:eastAsiaTheme="minorHAnsi" w:cstheme="minorBidi"/>
          <w:noProof/>
          <w:szCs w:val="22"/>
          <w:lang w:eastAsia="fr-FR"/>
        </w:rPr>
        <w:t xml:space="preserve">all </w:t>
      </w:r>
      <w:r w:rsidR="00B34E1B">
        <w:rPr>
          <w:rFonts w:eastAsiaTheme="minorHAnsi" w:cstheme="minorBidi"/>
          <w:noProof/>
          <w:szCs w:val="22"/>
          <w:lang w:eastAsia="fr-FR"/>
        </w:rPr>
        <w:t xml:space="preserve">procedural </w:t>
      </w:r>
      <w:r w:rsidR="00E51455" w:rsidRPr="000275CD">
        <w:rPr>
          <w:rFonts w:eastAsiaTheme="minorHAnsi" w:cstheme="minorBidi"/>
          <w:noProof/>
          <w:szCs w:val="22"/>
          <w:lang w:eastAsia="fr-FR"/>
        </w:rPr>
        <w:t>stages</w:t>
      </w:r>
      <w:r w:rsidR="00987B0A">
        <w:rPr>
          <w:rFonts w:eastAsiaTheme="minorHAnsi" w:cstheme="minorBidi"/>
          <w:noProof/>
          <w:szCs w:val="22"/>
          <w:lang w:eastAsia="fr-FR"/>
        </w:rPr>
        <w:t>,</w:t>
      </w:r>
      <w:r w:rsidR="00E51455" w:rsidRPr="000275CD">
        <w:rPr>
          <w:rFonts w:eastAsiaTheme="minorHAnsi" w:cstheme="minorBidi"/>
          <w:noProof/>
          <w:szCs w:val="22"/>
          <w:lang w:eastAsia="fr-FR"/>
        </w:rPr>
        <w:t xml:space="preserve"> </w:t>
      </w:r>
      <w:r w:rsidR="00267053">
        <w:rPr>
          <w:rFonts w:eastAsiaTheme="minorHAnsi" w:cstheme="minorBidi"/>
          <w:noProof/>
          <w:szCs w:val="22"/>
          <w:lang w:eastAsia="fr-FR"/>
        </w:rPr>
        <w:t xml:space="preserve">address </w:t>
      </w:r>
      <w:r w:rsidR="001A64FF">
        <w:rPr>
          <w:rFonts w:eastAsiaTheme="minorHAnsi" w:cstheme="minorBidi"/>
          <w:noProof/>
          <w:szCs w:val="22"/>
          <w:lang w:eastAsia="fr-FR"/>
        </w:rPr>
        <w:t xml:space="preserve">previously </w:t>
      </w:r>
      <w:r w:rsidR="00E51455" w:rsidRPr="000275CD">
        <w:rPr>
          <w:rFonts w:eastAsiaTheme="minorHAnsi" w:cstheme="minorBidi"/>
          <w:noProof/>
          <w:szCs w:val="22"/>
          <w:lang w:eastAsia="fr-FR"/>
        </w:rPr>
        <w:t>identif</w:t>
      </w:r>
      <w:r w:rsidR="00987B0A">
        <w:rPr>
          <w:rFonts w:eastAsiaTheme="minorHAnsi" w:cstheme="minorBidi"/>
          <w:noProof/>
          <w:szCs w:val="22"/>
          <w:lang w:eastAsia="fr-FR"/>
        </w:rPr>
        <w:t>ied</w:t>
      </w:r>
      <w:r w:rsidR="00E51455" w:rsidRPr="000275CD">
        <w:rPr>
          <w:rFonts w:eastAsiaTheme="minorHAnsi" w:cstheme="minorBidi"/>
          <w:noProof/>
          <w:szCs w:val="22"/>
          <w:lang w:eastAsia="fr-FR"/>
        </w:rPr>
        <w:t xml:space="preserve"> </w:t>
      </w:r>
      <w:r w:rsidR="00987B0A">
        <w:rPr>
          <w:rFonts w:eastAsiaTheme="minorHAnsi" w:cstheme="minorBidi"/>
          <w:noProof/>
          <w:szCs w:val="22"/>
          <w:lang w:eastAsia="fr-FR"/>
        </w:rPr>
        <w:t xml:space="preserve">data fragmentation and enhance monitoring. </w:t>
      </w:r>
      <w:r w:rsidR="00E51455" w:rsidRPr="000275CD">
        <w:rPr>
          <w:rFonts w:eastAsiaTheme="minorHAnsi" w:cstheme="minorBidi"/>
          <w:noProof/>
          <w:szCs w:val="22"/>
          <w:lang w:eastAsia="fr-FR"/>
        </w:rPr>
        <w:t xml:space="preserve">Cooperation between the European Public Prosecutor’s Office (EPPO), the police and the national prosecution offices remains broadly </w:t>
      </w:r>
      <w:r w:rsidR="00E51455" w:rsidRPr="00C4210E">
        <w:rPr>
          <w:rFonts w:eastAsiaTheme="minorHAnsi" w:cstheme="minorBidi"/>
          <w:noProof/>
          <w:szCs w:val="22"/>
          <w:lang w:eastAsia="fr-FR"/>
        </w:rPr>
        <w:t>effective.</w:t>
      </w:r>
      <w:r w:rsidR="00282311" w:rsidRPr="00C4210E">
        <w:rPr>
          <w:rFonts w:eastAsiaTheme="minorHAnsi" w:cstheme="minorBidi"/>
          <w:noProof/>
          <w:szCs w:val="22"/>
          <w:lang w:eastAsia="fr-FR"/>
        </w:rPr>
        <w:t xml:space="preserve"> </w:t>
      </w:r>
      <w:r w:rsidR="00701458" w:rsidRPr="00C4210E">
        <w:rPr>
          <w:rFonts w:eastAsiaTheme="minorHAnsi" w:cstheme="minorBidi"/>
          <w:noProof/>
          <w:szCs w:val="22"/>
          <w:lang w:eastAsia="fr-FR"/>
        </w:rPr>
        <w:t xml:space="preserve">The number of </w:t>
      </w:r>
      <w:r w:rsidR="00220A5C" w:rsidRPr="00C4210E">
        <w:rPr>
          <w:rFonts w:eastAsiaTheme="minorHAnsi" w:cstheme="minorBidi"/>
          <w:noProof/>
          <w:szCs w:val="22"/>
          <w:lang w:eastAsia="fr-FR"/>
        </w:rPr>
        <w:t xml:space="preserve">European delegated </w:t>
      </w:r>
      <w:r w:rsidR="00701458" w:rsidRPr="00C4210E">
        <w:rPr>
          <w:rFonts w:eastAsiaTheme="minorHAnsi" w:cstheme="minorBidi"/>
          <w:noProof/>
          <w:szCs w:val="22"/>
          <w:lang w:eastAsia="fr-FR"/>
        </w:rPr>
        <w:t xml:space="preserve">prosecutors has risen from seven in 2023 to thirteen in </w:t>
      </w:r>
      <w:r w:rsidR="00310E46" w:rsidRPr="00C4210E">
        <w:rPr>
          <w:rFonts w:eastAsiaTheme="minorHAnsi" w:cstheme="minorBidi"/>
          <w:noProof/>
          <w:szCs w:val="22"/>
          <w:lang w:eastAsia="fr-FR"/>
        </w:rPr>
        <w:t>2026</w:t>
      </w:r>
      <w:r w:rsidR="00043A50" w:rsidRPr="00C4210E">
        <w:rPr>
          <w:rStyle w:val="FootnoteReference"/>
          <w:rFonts w:eastAsiaTheme="minorHAnsi" w:cstheme="minorBidi"/>
          <w:noProof/>
          <w:szCs w:val="22"/>
          <w:lang w:eastAsia="fr-FR"/>
        </w:rPr>
        <w:footnoteReference w:id="72"/>
      </w:r>
      <w:r w:rsidR="00310E46" w:rsidRPr="00C4210E">
        <w:rPr>
          <w:rFonts w:eastAsiaTheme="minorHAnsi" w:cstheme="minorBidi"/>
          <w:noProof/>
          <w:szCs w:val="22"/>
          <w:lang w:eastAsia="fr-FR"/>
        </w:rPr>
        <w:t>.</w:t>
      </w:r>
      <w:r w:rsidR="00701458" w:rsidRPr="00C4210E">
        <w:rPr>
          <w:rFonts w:eastAsiaTheme="minorHAnsi" w:cstheme="minorBidi"/>
          <w:noProof/>
          <w:szCs w:val="22"/>
          <w:lang w:eastAsia="fr-FR"/>
        </w:rPr>
        <w:t xml:space="preserve"> </w:t>
      </w:r>
      <w:r w:rsidR="00E51455" w:rsidRPr="00C4210E">
        <w:rPr>
          <w:rFonts w:eastAsiaTheme="minorHAnsi" w:cstheme="minorBidi"/>
          <w:noProof/>
          <w:szCs w:val="22"/>
          <w:lang w:eastAsia="fr-FR"/>
        </w:rPr>
        <w:t>In April 2026, Parliament lifted the immunity of 13 Members of Parliament in response to requests by the EPPO, allowing prosecuting authorities to proceed with the relevant cases</w:t>
      </w:r>
      <w:r w:rsidR="00E51455" w:rsidRPr="00C4210E">
        <w:rPr>
          <w:rFonts w:eastAsiaTheme="minorHAnsi" w:cstheme="minorBidi"/>
          <w:noProof/>
          <w:szCs w:val="22"/>
          <w:vertAlign w:val="superscript"/>
          <w:lang w:eastAsia="fr-FR"/>
        </w:rPr>
        <w:footnoteReference w:id="73"/>
      </w:r>
      <w:r w:rsidR="00E51455" w:rsidRPr="00C4210E">
        <w:rPr>
          <w:rFonts w:eastAsiaTheme="minorHAnsi" w:cstheme="minorBidi"/>
          <w:noProof/>
          <w:szCs w:val="22"/>
          <w:lang w:eastAsia="fr-FR"/>
        </w:rPr>
        <w:t xml:space="preserve">. </w:t>
      </w:r>
      <w:bookmarkStart w:id="10" w:name="_Hlk227753474"/>
      <w:bookmarkStart w:id="11" w:name="_Hlk194494744"/>
      <w:bookmarkStart w:id="12" w:name="_Hlk224652268"/>
      <w:bookmarkEnd w:id="8"/>
      <w:r w:rsidR="00E51455" w:rsidRPr="00C4210E">
        <w:rPr>
          <w:rFonts w:eastAsiaTheme="minorHAnsi" w:cstheme="minorBidi"/>
          <w:noProof/>
          <w:szCs w:val="22"/>
          <w:lang w:eastAsia="fr-FR"/>
        </w:rPr>
        <w:t>O</w:t>
      </w:r>
      <w:bookmarkEnd w:id="10"/>
      <w:r w:rsidR="00E51455" w:rsidRPr="00C4210E">
        <w:rPr>
          <w:rFonts w:eastAsiaTheme="minorHAnsi" w:cstheme="minorBidi"/>
          <w:noProof/>
          <w:szCs w:val="22"/>
          <w:lang w:eastAsia="fr-FR"/>
        </w:rPr>
        <w:t xml:space="preserve">verall, </w:t>
      </w:r>
      <w:bookmarkStart w:id="13" w:name="_Hlk225521358"/>
      <w:r w:rsidR="00E51455" w:rsidRPr="00C4210E">
        <w:rPr>
          <w:rFonts w:eastAsiaTheme="minorHAnsi" w:cstheme="minorBidi"/>
          <w:noProof/>
          <w:szCs w:val="22"/>
          <w:lang w:eastAsia="fr-FR"/>
        </w:rPr>
        <w:t xml:space="preserve">the legal framework for a digital register of corruption cases has been set up </w:t>
      </w:r>
      <w:r w:rsidR="00DA434E" w:rsidRPr="00C4210E">
        <w:rPr>
          <w:rFonts w:eastAsiaTheme="minorHAnsi" w:cstheme="minorBidi"/>
          <w:noProof/>
          <w:szCs w:val="22"/>
          <w:lang w:eastAsia="fr-FR"/>
        </w:rPr>
        <w:t xml:space="preserve">and the register is expected to be </w:t>
      </w:r>
      <w:r w:rsidR="007C42BC" w:rsidRPr="00C4210E">
        <w:rPr>
          <w:rFonts w:eastAsiaTheme="minorHAnsi" w:cstheme="minorBidi"/>
          <w:noProof/>
          <w:szCs w:val="22"/>
          <w:lang w:eastAsia="fr-FR"/>
        </w:rPr>
        <w:t>operational in the coming months</w:t>
      </w:r>
      <w:r w:rsidR="00FF4046" w:rsidRPr="00C4210E">
        <w:rPr>
          <w:rFonts w:eastAsiaTheme="minorHAnsi" w:cstheme="minorBidi"/>
          <w:noProof/>
          <w:szCs w:val="22"/>
          <w:lang w:eastAsia="fr-FR"/>
        </w:rPr>
        <w:t>; however,</w:t>
      </w:r>
      <w:r w:rsidR="00E51455" w:rsidRPr="00C4210E">
        <w:rPr>
          <w:rFonts w:eastAsiaTheme="minorHAnsi" w:cstheme="minorBidi"/>
          <w:noProof/>
          <w:szCs w:val="22"/>
          <w:lang w:eastAsia="fr-FR"/>
        </w:rPr>
        <w:t xml:space="preserve"> </w:t>
      </w:r>
      <w:r w:rsidR="00FF4046" w:rsidRPr="00C4210E">
        <w:rPr>
          <w:rFonts w:eastAsiaTheme="minorHAnsi" w:cstheme="minorBidi"/>
          <w:noProof/>
          <w:szCs w:val="22"/>
          <w:lang w:eastAsia="fr-FR"/>
        </w:rPr>
        <w:t xml:space="preserve">as </w:t>
      </w:r>
      <w:r w:rsidR="00E51455" w:rsidRPr="00C4210E">
        <w:rPr>
          <w:rFonts w:eastAsiaTheme="minorHAnsi" w:cstheme="minorBidi"/>
          <w:noProof/>
          <w:szCs w:val="22"/>
          <w:lang w:eastAsia="fr-FR"/>
        </w:rPr>
        <w:t>the number of prosecutions</w:t>
      </w:r>
      <w:r w:rsidR="00E51455" w:rsidRPr="000275CD">
        <w:rPr>
          <w:rFonts w:eastAsiaTheme="minorHAnsi" w:cstheme="minorBidi"/>
          <w:noProof/>
          <w:szCs w:val="22"/>
          <w:lang w:eastAsia="fr-FR"/>
        </w:rPr>
        <w:t xml:space="preserve"> and final judgments in corruption cases, including high-level corruption, remains low</w:t>
      </w:r>
      <w:bookmarkEnd w:id="13"/>
      <w:r w:rsidR="00E51455" w:rsidRPr="000275CD">
        <w:rPr>
          <w:rFonts w:eastAsiaTheme="minorHAnsi" w:cstheme="minorBidi"/>
          <w:noProof/>
          <w:szCs w:val="22"/>
          <w:lang w:eastAsia="fr-FR"/>
        </w:rPr>
        <w:t xml:space="preserve">, there has been limited progress on this recommendation. </w:t>
      </w:r>
    </w:p>
    <w:p w14:paraId="3DEF4CAF" w14:textId="229BF176" w:rsidR="00E51455" w:rsidRPr="000275CD" w:rsidRDefault="00E51455" w:rsidP="00E51455">
      <w:pPr>
        <w:rPr>
          <w:rFonts w:eastAsiaTheme="minorHAnsi" w:cstheme="minorBidi"/>
          <w:noProof/>
          <w:szCs w:val="22"/>
          <w:lang w:eastAsia="fr-FR"/>
        </w:rPr>
      </w:pPr>
      <w:bookmarkStart w:id="14" w:name="_Hlk223620137"/>
      <w:r w:rsidRPr="000275CD">
        <w:rPr>
          <w:rFonts w:eastAsiaTheme="minorHAnsi" w:cstheme="minorBidi"/>
          <w:b/>
          <w:bCs/>
          <w:noProof/>
          <w:szCs w:val="22"/>
          <w:lang w:eastAsia="fr-FR"/>
        </w:rPr>
        <w:t>The police stepped up efforts to combat corruption, including internally, by implementing integrity measures and disciplinary proceedings.</w:t>
      </w:r>
      <w:r w:rsidRPr="000275CD">
        <w:rPr>
          <w:rFonts w:eastAsiaTheme="minorHAnsi" w:cstheme="minorBidi"/>
          <w:noProof/>
          <w:szCs w:val="22"/>
          <w:lang w:eastAsia="fr-FR"/>
        </w:rPr>
        <w:t xml:space="preserve"> </w:t>
      </w:r>
      <w:bookmarkEnd w:id="14"/>
      <w:r w:rsidRPr="000275CD">
        <w:rPr>
          <w:rFonts w:eastAsiaTheme="minorHAnsi" w:cstheme="minorBidi"/>
          <w:noProof/>
          <w:szCs w:val="22"/>
          <w:lang w:eastAsia="fr-FR"/>
        </w:rPr>
        <w:t>The Directorate of Ethics and Internal Control, set up in 2025, received a clearer mandate for internal control and disciplinary investigations, strengthening independence and procedural clarity. In 2025, 3 052 disciplinary proceedings were conducted, 100 police officers were temporarily suspended (compared to 87 in 2024) and 10 were dismissed. 1 </w:t>
      </w:r>
      <w:r w:rsidR="00BA25A1">
        <w:rPr>
          <w:rFonts w:eastAsiaTheme="minorHAnsi" w:cstheme="minorBidi"/>
          <w:noProof/>
          <w:szCs w:val="22"/>
          <w:lang w:eastAsia="fr-FR"/>
        </w:rPr>
        <w:t>579</w:t>
      </w:r>
      <w:r w:rsidRPr="000275CD">
        <w:rPr>
          <w:rFonts w:eastAsiaTheme="minorHAnsi" w:cstheme="minorBidi"/>
          <w:noProof/>
          <w:szCs w:val="22"/>
          <w:lang w:eastAsia="fr-FR"/>
        </w:rPr>
        <w:t xml:space="preserve"> complaints related to corruption offences were received, resulting in 1</w:t>
      </w:r>
      <w:r w:rsidR="00BA25A1">
        <w:rPr>
          <w:rFonts w:eastAsiaTheme="minorHAnsi" w:cstheme="minorBidi"/>
          <w:noProof/>
          <w:szCs w:val="22"/>
          <w:lang w:eastAsia="fr-FR"/>
        </w:rPr>
        <w:t>40</w:t>
      </w:r>
      <w:r w:rsidRPr="000275CD">
        <w:rPr>
          <w:rFonts w:eastAsiaTheme="minorHAnsi" w:cstheme="minorBidi"/>
          <w:noProof/>
          <w:szCs w:val="22"/>
          <w:lang w:eastAsia="fr-FR"/>
        </w:rPr>
        <w:t xml:space="preserve"> arrests (compared to 1 312 and 187 respectively in 2024)</w:t>
      </w:r>
      <w:r w:rsidRPr="000275CD">
        <w:rPr>
          <w:rFonts w:eastAsiaTheme="minorHAnsi" w:cstheme="minorBidi"/>
          <w:noProof/>
          <w:szCs w:val="22"/>
          <w:vertAlign w:val="superscript"/>
          <w:lang w:eastAsia="fr-FR"/>
        </w:rPr>
        <w:footnoteReference w:id="74"/>
      </w:r>
      <w:r w:rsidRPr="000275CD">
        <w:rPr>
          <w:rFonts w:eastAsiaTheme="minorHAnsi" w:cstheme="minorBidi"/>
          <w:noProof/>
          <w:szCs w:val="22"/>
          <w:lang w:eastAsia="fr-FR"/>
        </w:rPr>
        <w:t xml:space="preserve">. </w:t>
      </w:r>
      <w:bookmarkEnd w:id="11"/>
      <w:r w:rsidRPr="000275CD">
        <w:rPr>
          <w:rFonts w:eastAsiaTheme="minorHAnsi" w:cstheme="minorBidi"/>
          <w:noProof/>
          <w:szCs w:val="22"/>
          <w:lang w:eastAsia="fr-FR"/>
        </w:rPr>
        <w:t>In addition, the new Directorate for Combating Organised Crime ensures a more interdisciplinary approach and intelligence-led policing regarding complex cases, which often involve corruption</w:t>
      </w:r>
      <w:r w:rsidRPr="000275CD">
        <w:rPr>
          <w:rFonts w:eastAsiaTheme="minorHAnsi" w:cstheme="minorBidi"/>
          <w:noProof/>
          <w:szCs w:val="22"/>
          <w:vertAlign w:val="superscript"/>
          <w:lang w:eastAsia="fr-FR"/>
        </w:rPr>
        <w:footnoteReference w:id="75"/>
      </w:r>
      <w:r w:rsidRPr="000275CD">
        <w:rPr>
          <w:rFonts w:eastAsiaTheme="minorHAnsi" w:cstheme="minorBidi"/>
          <w:noProof/>
          <w:szCs w:val="22"/>
          <w:lang w:eastAsia="fr-FR"/>
        </w:rPr>
        <w:t>. The Directorate for Combating Organised Crime identified corruption as a key facilitator of organised crime, particularly in areas such as drug trafficking, smuggling, fuel and tobacco fraud, forged travel documents, cultural goods trafficking, financial crime, and weapons trafficking. Technological improvement, digitalisation, continuous staff training and international cooperation have been identified as key elements in resolving organised crime and corruption cases, which are becoming increasingly complex and require more resources</w:t>
      </w:r>
      <w:bookmarkEnd w:id="12"/>
      <w:r w:rsidRPr="000275CD">
        <w:rPr>
          <w:rFonts w:eastAsiaTheme="minorHAnsi" w:cstheme="minorBidi"/>
          <w:noProof/>
          <w:szCs w:val="22"/>
          <w:vertAlign w:val="superscript"/>
          <w:lang w:eastAsia="fr-FR"/>
        </w:rPr>
        <w:footnoteReference w:id="76"/>
      </w:r>
      <w:r w:rsidRPr="000275CD">
        <w:rPr>
          <w:rFonts w:eastAsiaTheme="minorHAnsi" w:cstheme="minorBidi"/>
          <w:noProof/>
          <w:szCs w:val="22"/>
          <w:lang w:eastAsia="fr-FR"/>
        </w:rPr>
        <w:t xml:space="preserve">. </w:t>
      </w:r>
    </w:p>
    <w:p w14:paraId="205DB230" w14:textId="3A16900A" w:rsidR="00E51455" w:rsidRPr="000275CD" w:rsidRDefault="00E51455" w:rsidP="00E51455">
      <w:pPr>
        <w:rPr>
          <w:rFonts w:eastAsiaTheme="minorHAnsi" w:cstheme="minorBidi"/>
          <w:noProof/>
          <w:szCs w:val="22"/>
          <w:lang w:eastAsia="fr-FR"/>
        </w:rPr>
      </w:pPr>
      <w:bookmarkStart w:id="15" w:name="_Hlk223620172"/>
      <w:bookmarkStart w:id="16" w:name="_Hlk225521396"/>
      <w:bookmarkStart w:id="17" w:name="_Hlk194509395"/>
      <w:bookmarkEnd w:id="9"/>
      <w:r w:rsidRPr="000275CD">
        <w:rPr>
          <w:rFonts w:eastAsiaTheme="minorHAnsi" w:cstheme="minorBidi"/>
          <w:b/>
          <w:bCs/>
          <w:noProof/>
          <w:szCs w:val="22"/>
          <w:lang w:eastAsia="fr-FR"/>
        </w:rPr>
        <w:t>The submission of asset declarations continues, including through a new electronic system</w:t>
      </w:r>
      <w:bookmarkEnd w:id="15"/>
      <w:r w:rsidRPr="000275CD">
        <w:rPr>
          <w:rFonts w:eastAsiaTheme="minorHAnsi" w:cstheme="minorBidi"/>
          <w:b/>
          <w:bCs/>
          <w:noProof/>
          <w:szCs w:val="22"/>
          <w:lang w:eastAsia="fr-FR"/>
        </w:rPr>
        <w:t>, though delays in submissions and publications remain</w:t>
      </w:r>
      <w:r w:rsidRPr="000275CD">
        <w:rPr>
          <w:rFonts w:eastAsiaTheme="minorHAnsi" w:cstheme="minorBidi"/>
          <w:noProof/>
          <w:szCs w:val="22"/>
          <w:lang w:eastAsia="fr-FR"/>
        </w:rPr>
        <w:t xml:space="preserve">. </w:t>
      </w:r>
      <w:bookmarkEnd w:id="16"/>
      <w:r w:rsidRPr="000275CD">
        <w:rPr>
          <w:rFonts w:eastAsiaTheme="minorHAnsi" w:cstheme="minorBidi"/>
          <w:noProof/>
          <w:szCs w:val="22"/>
          <w:lang w:eastAsia="fr-FR"/>
        </w:rPr>
        <w:t xml:space="preserve">Asset declarations must be submitted by </w:t>
      </w:r>
      <w:r w:rsidR="00691FE4">
        <w:rPr>
          <w:rFonts w:eastAsiaTheme="minorHAnsi" w:cstheme="minorBidi"/>
          <w:noProof/>
          <w:szCs w:val="22"/>
          <w:lang w:eastAsia="fr-FR"/>
        </w:rPr>
        <w:t xml:space="preserve">several categories of obliged persons, including </w:t>
      </w:r>
      <w:r w:rsidRPr="000275CD">
        <w:rPr>
          <w:rFonts w:eastAsiaTheme="minorHAnsi" w:cstheme="minorBidi"/>
          <w:noProof/>
          <w:szCs w:val="22"/>
          <w:lang w:eastAsia="fr-FR"/>
        </w:rPr>
        <w:t>elected officials at all government levels and their spouses.</w:t>
      </w:r>
      <w:r w:rsidRPr="000275CD">
        <w:rPr>
          <w:rFonts w:eastAsiaTheme="minorHAnsi" w:cstheme="minorBidi"/>
          <w:noProof/>
          <w:szCs w:val="22"/>
          <w:vertAlign w:val="superscript"/>
          <w:lang w:eastAsia="fr-FR"/>
        </w:rPr>
        <w:footnoteReference w:id="77"/>
      </w:r>
      <w:r w:rsidRPr="000275CD">
        <w:rPr>
          <w:rFonts w:eastAsiaTheme="minorHAnsi" w:cstheme="minorBidi"/>
          <w:noProof/>
          <w:szCs w:val="22"/>
          <w:lang w:eastAsia="fr-FR"/>
        </w:rPr>
        <w:t xml:space="preserve"> In 2025, the new electronic system ‘e-pothen’ was used by significantly more users compared to 2024</w:t>
      </w:r>
      <w:r w:rsidRPr="000275CD">
        <w:rPr>
          <w:rFonts w:eastAsiaTheme="minorHAnsi" w:cstheme="minorBidi"/>
          <w:noProof/>
          <w:szCs w:val="22"/>
          <w:vertAlign w:val="superscript"/>
          <w:lang w:eastAsia="fr-FR"/>
        </w:rPr>
        <w:footnoteReference w:id="78"/>
      </w:r>
      <w:r w:rsidR="001D188C">
        <w:rPr>
          <w:rFonts w:eastAsiaTheme="minorHAnsi" w:cstheme="minorBidi"/>
          <w:noProof/>
          <w:szCs w:val="22"/>
          <w:lang w:eastAsia="fr-FR"/>
        </w:rPr>
        <w:t xml:space="preserve"> and almost one million obliged persons used it to submit </w:t>
      </w:r>
      <w:r w:rsidR="000056AD">
        <w:rPr>
          <w:rFonts w:eastAsiaTheme="minorHAnsi" w:cstheme="minorBidi"/>
          <w:noProof/>
          <w:szCs w:val="22"/>
          <w:lang w:eastAsia="fr-FR"/>
        </w:rPr>
        <w:t>their declarations</w:t>
      </w:r>
      <w:r w:rsidR="009C2196">
        <w:rPr>
          <w:rStyle w:val="FootnoteReference"/>
          <w:rFonts w:eastAsiaTheme="minorHAnsi" w:cstheme="minorBidi"/>
          <w:noProof/>
          <w:szCs w:val="22"/>
          <w:lang w:eastAsia="fr-FR"/>
        </w:rPr>
        <w:footnoteReference w:id="79"/>
      </w:r>
      <w:r w:rsidRPr="000275CD">
        <w:rPr>
          <w:rFonts w:eastAsiaTheme="minorHAnsi" w:cstheme="minorBidi"/>
          <w:noProof/>
          <w:szCs w:val="22"/>
          <w:lang w:eastAsia="fr-FR"/>
        </w:rPr>
        <w:t>. The NTA highlights the user-friendliness of the system, improved data accuracy, real-time cross-checking with other databases such as banking databases, and a sound risk analysis</w:t>
      </w:r>
      <w:r w:rsidRPr="000275CD">
        <w:rPr>
          <w:rFonts w:eastAsiaTheme="minorHAnsi" w:cstheme="minorBidi"/>
          <w:noProof/>
          <w:szCs w:val="22"/>
          <w:vertAlign w:val="superscript"/>
          <w:lang w:eastAsia="fr-FR"/>
        </w:rPr>
        <w:footnoteReference w:id="80"/>
      </w:r>
      <w:r w:rsidRPr="000275CD">
        <w:rPr>
          <w:rFonts w:eastAsiaTheme="minorHAnsi" w:cstheme="minorBidi"/>
          <w:noProof/>
          <w:szCs w:val="22"/>
          <w:lang w:eastAsia="fr-FR"/>
        </w:rPr>
        <w:t xml:space="preserve">. </w:t>
      </w:r>
      <w:bookmarkStart w:id="18" w:name="_Hlk194494948"/>
      <w:r w:rsidRPr="000275CD">
        <w:rPr>
          <w:rFonts w:eastAsiaTheme="minorHAnsi" w:cstheme="minorBidi"/>
          <w:noProof/>
          <w:szCs w:val="22"/>
          <w:lang w:eastAsia="fr-FR"/>
        </w:rPr>
        <w:t>Civil society organisations note that the deadline for the submission of asset declarations by public officials and other persons concerned for the financial year 2024 was extended, as in previous years</w:t>
      </w:r>
      <w:r w:rsidRPr="000275CD">
        <w:rPr>
          <w:rFonts w:eastAsiaTheme="minorHAnsi" w:cstheme="minorBidi"/>
          <w:noProof/>
          <w:szCs w:val="22"/>
          <w:vertAlign w:val="superscript"/>
          <w:lang w:eastAsia="fr-FR"/>
        </w:rPr>
        <w:footnoteReference w:id="81"/>
      </w:r>
      <w:r w:rsidRPr="000275CD">
        <w:rPr>
          <w:rFonts w:eastAsiaTheme="minorHAnsi" w:cstheme="minorBidi"/>
          <w:noProof/>
          <w:szCs w:val="22"/>
          <w:lang w:eastAsia="fr-FR"/>
        </w:rPr>
        <w:t>. The Parliament Committee for the Investigation of Declaration of Assets (CIDA) considers the delay in submissions was caused by the lack of familiarity with the new system</w:t>
      </w:r>
      <w:r w:rsidR="00634BC9">
        <w:rPr>
          <w:rStyle w:val="FootnoteReference"/>
          <w:rFonts w:eastAsiaTheme="minorHAnsi" w:cstheme="minorBidi"/>
          <w:noProof/>
          <w:szCs w:val="22"/>
          <w:lang w:eastAsia="fr-FR"/>
        </w:rPr>
        <w:footnoteReference w:id="82"/>
      </w:r>
      <w:r w:rsidRPr="000275CD">
        <w:rPr>
          <w:rFonts w:eastAsiaTheme="minorHAnsi" w:cstheme="minorBidi"/>
          <w:noProof/>
          <w:szCs w:val="22"/>
          <w:lang w:eastAsia="fr-FR"/>
        </w:rPr>
        <w:t>. There was also a delay in publication of asset declarations</w:t>
      </w:r>
      <w:r w:rsidR="00F17C21">
        <w:rPr>
          <w:rStyle w:val="FootnoteReference"/>
          <w:rFonts w:eastAsiaTheme="minorHAnsi" w:cstheme="minorBidi"/>
          <w:noProof/>
          <w:szCs w:val="22"/>
          <w:lang w:eastAsia="fr-FR"/>
        </w:rPr>
        <w:footnoteReference w:id="83"/>
      </w:r>
      <w:r w:rsidRPr="000275CD">
        <w:rPr>
          <w:rFonts w:eastAsiaTheme="minorHAnsi" w:cstheme="minorBidi"/>
          <w:noProof/>
          <w:szCs w:val="22"/>
          <w:lang w:eastAsia="fr-FR"/>
        </w:rPr>
        <w:t xml:space="preserve"> by seven months, due to the need of manual cross-checks, data protection compliance checks and increased volume of spouse declarations</w:t>
      </w:r>
      <w:r w:rsidRPr="000275CD">
        <w:rPr>
          <w:rFonts w:eastAsiaTheme="minorHAnsi" w:cstheme="minorBidi"/>
          <w:noProof/>
          <w:szCs w:val="22"/>
          <w:vertAlign w:val="superscript"/>
          <w:lang w:eastAsia="fr-FR"/>
        </w:rPr>
        <w:footnoteReference w:id="84"/>
      </w:r>
      <w:r w:rsidRPr="000275CD">
        <w:rPr>
          <w:rFonts w:eastAsiaTheme="minorHAnsi" w:cstheme="minorBidi"/>
          <w:noProof/>
          <w:szCs w:val="22"/>
          <w:lang w:eastAsia="fr-FR"/>
        </w:rPr>
        <w:t>.</w:t>
      </w:r>
      <w:bookmarkEnd w:id="18"/>
      <w:r w:rsidR="00CB148A">
        <w:rPr>
          <w:rFonts w:eastAsiaTheme="minorHAnsi" w:cstheme="minorBidi"/>
          <w:noProof/>
          <w:szCs w:val="22"/>
          <w:lang w:eastAsia="fr-FR"/>
        </w:rPr>
        <w:t xml:space="preserve"> </w:t>
      </w:r>
      <w:r w:rsidRPr="000275CD">
        <w:rPr>
          <w:rFonts w:eastAsiaTheme="minorHAnsi" w:cstheme="minorBidi"/>
          <w:noProof/>
          <w:szCs w:val="22"/>
          <w:lang w:eastAsia="fr-FR"/>
        </w:rPr>
        <w:t>As regards gift disclosure, whereas gifts to Members of Cabinet are published, gifts to Members of Parliament are not disclosed in a publicly accessible register</w:t>
      </w:r>
      <w:r w:rsidRPr="000275CD">
        <w:rPr>
          <w:rFonts w:eastAsiaTheme="minorHAnsi" w:cstheme="minorBidi"/>
          <w:noProof/>
          <w:szCs w:val="22"/>
          <w:vertAlign w:val="superscript"/>
          <w:lang w:eastAsia="fr-FR"/>
        </w:rPr>
        <w:footnoteReference w:id="85"/>
      </w:r>
      <w:r w:rsidRPr="000275CD">
        <w:rPr>
          <w:rFonts w:eastAsiaTheme="minorHAnsi" w:cstheme="minorBidi"/>
          <w:noProof/>
          <w:szCs w:val="22"/>
          <w:lang w:eastAsia="fr-FR"/>
        </w:rPr>
        <w:t>. The code of conduct for Members of Parliament has not yet been updated, as planned in the NACAP</w:t>
      </w:r>
      <w:r w:rsidRPr="000275CD">
        <w:rPr>
          <w:rFonts w:eastAsiaTheme="minorHAnsi" w:cstheme="minorBidi"/>
          <w:noProof/>
          <w:szCs w:val="22"/>
          <w:vertAlign w:val="superscript"/>
          <w:lang w:eastAsia="fr-FR"/>
        </w:rPr>
        <w:footnoteReference w:id="86"/>
      </w:r>
      <w:r w:rsidRPr="000275CD">
        <w:rPr>
          <w:rFonts w:eastAsiaTheme="minorHAnsi" w:cstheme="minorBidi"/>
          <w:noProof/>
          <w:szCs w:val="22"/>
          <w:lang w:eastAsia="fr-FR"/>
        </w:rPr>
        <w:t xml:space="preserve">. </w:t>
      </w:r>
    </w:p>
    <w:p w14:paraId="4589A265" w14:textId="57B4F902" w:rsidR="00E51455" w:rsidRPr="001A2E92" w:rsidRDefault="009375D7" w:rsidP="00E51455">
      <w:pPr>
        <w:rPr>
          <w:rFonts w:eastAsiaTheme="minorHAnsi" w:cstheme="minorBidi"/>
          <w:b/>
          <w:bCs/>
          <w:noProof/>
          <w:szCs w:val="22"/>
          <w:lang w:eastAsia="fr-FR"/>
        </w:rPr>
      </w:pPr>
      <w:bookmarkStart w:id="19" w:name="_Hlk224825085"/>
      <w:r w:rsidRPr="009375D7">
        <w:rPr>
          <w:rFonts w:eastAsiaTheme="minorHAnsi" w:cstheme="minorBidi"/>
          <w:b/>
          <w:bCs/>
          <w:noProof/>
          <w:szCs w:val="22"/>
          <w:lang w:eastAsia="fr-FR"/>
        </w:rPr>
        <w:t>While implementation measures and awareness-raising activities are ongoing, no legislative changes have been introduced regarding the definition of lobbyists and the number of registered lobbyists remains low</w:t>
      </w:r>
      <w:r w:rsidR="00E51455" w:rsidRPr="000275CD">
        <w:rPr>
          <w:rFonts w:eastAsiaTheme="minorHAnsi" w:cstheme="minorBidi"/>
          <w:b/>
          <w:bCs/>
          <w:noProof/>
          <w:szCs w:val="22"/>
          <w:vertAlign w:val="superscript"/>
          <w:lang w:eastAsia="fr-FR"/>
        </w:rPr>
        <w:footnoteReference w:id="87"/>
      </w:r>
      <w:r w:rsidR="00E51455" w:rsidRPr="000275CD">
        <w:rPr>
          <w:rFonts w:eastAsiaTheme="minorHAnsi" w:cstheme="minorBidi"/>
          <w:b/>
          <w:bCs/>
          <w:noProof/>
          <w:szCs w:val="22"/>
          <w:lang w:eastAsia="fr-FR"/>
        </w:rPr>
        <w:t>.</w:t>
      </w:r>
      <w:r w:rsidR="00E51455" w:rsidRPr="000275CD">
        <w:rPr>
          <w:rFonts w:eastAsiaTheme="minorHAnsi" w:cstheme="minorBidi"/>
          <w:noProof/>
          <w:szCs w:val="22"/>
          <w:lang w:eastAsia="fr-FR"/>
        </w:rPr>
        <w:t xml:space="preserve"> The Greek Government has been working on raising awareness of the transparency obligations and the transparency register and training of government members, deputy ministers, and general and special secretaries of ministries and their offices</w:t>
      </w:r>
      <w:r w:rsidR="00E51455" w:rsidRPr="000275CD">
        <w:rPr>
          <w:rFonts w:eastAsiaTheme="minorHAnsi" w:cstheme="minorBidi"/>
          <w:noProof/>
          <w:szCs w:val="22"/>
          <w:vertAlign w:val="superscript"/>
          <w:lang w:eastAsia="fr-FR"/>
        </w:rPr>
        <w:footnoteReference w:id="88"/>
      </w:r>
      <w:r w:rsidR="00E51455" w:rsidRPr="000275CD">
        <w:rPr>
          <w:rFonts w:eastAsiaTheme="minorHAnsi" w:cstheme="minorBidi"/>
          <w:noProof/>
          <w:szCs w:val="22"/>
          <w:lang w:eastAsia="fr-FR"/>
        </w:rPr>
        <w:t xml:space="preserve">. Since the register became operational in December 2022, entries have slightly increased, from 20 in July 2024 to 35 in March 2026. There are currently 320 institutional bodies registered (of which 280 have an active tenure), compared to 305 at the </w:t>
      </w:r>
      <w:r w:rsidR="00E51455" w:rsidRPr="00C4210E">
        <w:rPr>
          <w:rFonts w:eastAsiaTheme="minorHAnsi" w:cstheme="minorBidi"/>
          <w:noProof/>
          <w:szCs w:val="22"/>
          <w:lang w:eastAsia="fr-FR"/>
        </w:rPr>
        <w:t>end of 2024. The narrow definition of a lobbyist, which does not cover in-house lobbyists, has not been amended</w:t>
      </w:r>
      <w:r w:rsidR="00E51455" w:rsidRPr="00C4210E">
        <w:rPr>
          <w:rFonts w:eastAsiaTheme="minorHAnsi" w:cstheme="minorBidi"/>
          <w:noProof/>
          <w:szCs w:val="22"/>
          <w:vertAlign w:val="superscript"/>
          <w:lang w:eastAsia="fr-FR"/>
        </w:rPr>
        <w:footnoteReference w:id="89"/>
      </w:r>
      <w:r w:rsidR="00E51455" w:rsidRPr="00C4210E">
        <w:rPr>
          <w:rFonts w:eastAsiaTheme="minorHAnsi" w:cstheme="minorBidi"/>
          <w:noProof/>
          <w:szCs w:val="22"/>
          <w:lang w:eastAsia="fr-FR"/>
        </w:rPr>
        <w:t xml:space="preserve">. </w:t>
      </w:r>
      <w:r w:rsidR="003D3C8D" w:rsidRPr="00C4210E">
        <w:rPr>
          <w:rFonts w:eastAsiaTheme="minorHAnsi" w:cstheme="minorBidi"/>
          <w:noProof/>
          <w:szCs w:val="22"/>
          <w:lang w:eastAsia="fr-FR"/>
        </w:rPr>
        <w:t xml:space="preserve">The Ministry of Interior </w:t>
      </w:r>
      <w:r w:rsidR="00727960" w:rsidRPr="00C4210E">
        <w:rPr>
          <w:rFonts w:eastAsiaTheme="minorHAnsi" w:cstheme="minorBidi"/>
          <w:noProof/>
          <w:szCs w:val="22"/>
          <w:lang w:eastAsia="fr-FR"/>
        </w:rPr>
        <w:t>has announced</w:t>
      </w:r>
      <w:r w:rsidR="003D3C8D" w:rsidRPr="00C4210E">
        <w:rPr>
          <w:rFonts w:eastAsiaTheme="minorHAnsi" w:cstheme="minorBidi"/>
          <w:noProof/>
          <w:szCs w:val="22"/>
          <w:lang w:eastAsia="fr-FR"/>
        </w:rPr>
        <w:t xml:space="preserve"> the </w:t>
      </w:r>
      <w:r w:rsidR="00727960" w:rsidRPr="00C4210E">
        <w:rPr>
          <w:rFonts w:eastAsiaTheme="minorHAnsi" w:cstheme="minorBidi"/>
          <w:noProof/>
          <w:szCs w:val="22"/>
          <w:lang w:eastAsia="fr-FR"/>
        </w:rPr>
        <w:t>intention to examine</w:t>
      </w:r>
      <w:r w:rsidR="003D3C8D" w:rsidRPr="00C4210E">
        <w:rPr>
          <w:rFonts w:eastAsiaTheme="minorHAnsi" w:cstheme="minorBidi"/>
          <w:noProof/>
          <w:szCs w:val="22"/>
          <w:lang w:eastAsia="fr-FR"/>
        </w:rPr>
        <w:t xml:space="preserve"> the extent and the depth of the amendment of the </w:t>
      </w:r>
      <w:r w:rsidR="00990F6D" w:rsidRPr="00C4210E">
        <w:rPr>
          <w:rFonts w:eastAsiaTheme="minorHAnsi" w:cstheme="minorBidi"/>
          <w:noProof/>
          <w:szCs w:val="22"/>
          <w:lang w:eastAsia="fr-FR"/>
        </w:rPr>
        <w:t xml:space="preserve">legislative </w:t>
      </w:r>
      <w:r w:rsidR="003D3C8D" w:rsidRPr="00C4210E">
        <w:rPr>
          <w:rFonts w:eastAsiaTheme="minorHAnsi" w:cstheme="minorBidi"/>
          <w:noProof/>
          <w:szCs w:val="22"/>
          <w:lang w:eastAsia="fr-FR"/>
        </w:rPr>
        <w:t>scope</w:t>
      </w:r>
      <w:r w:rsidR="00FF770C" w:rsidRPr="00C4210E">
        <w:rPr>
          <w:rFonts w:eastAsiaTheme="minorHAnsi" w:cstheme="minorBidi"/>
          <w:noProof/>
          <w:szCs w:val="22"/>
          <w:lang w:eastAsia="fr-FR"/>
        </w:rPr>
        <w:t xml:space="preserve">. </w:t>
      </w:r>
      <w:r w:rsidR="0071025C" w:rsidRPr="00C4210E">
        <w:rPr>
          <w:rFonts w:eastAsiaTheme="minorHAnsi" w:cstheme="minorBidi"/>
          <w:noProof/>
          <w:szCs w:val="22"/>
          <w:lang w:eastAsia="fr-FR"/>
        </w:rPr>
        <w:t xml:space="preserve">To this end it </w:t>
      </w:r>
      <w:r w:rsidR="00FF770C" w:rsidRPr="00C4210E">
        <w:rPr>
          <w:rFonts w:eastAsiaTheme="minorHAnsi" w:cstheme="minorBidi"/>
          <w:noProof/>
          <w:szCs w:val="22"/>
          <w:lang w:eastAsia="fr-FR"/>
        </w:rPr>
        <w:t xml:space="preserve">will </w:t>
      </w:r>
      <w:r w:rsidR="0071025C" w:rsidRPr="00C4210E">
        <w:rPr>
          <w:rFonts w:eastAsiaTheme="minorHAnsi" w:cstheme="minorBidi"/>
          <w:noProof/>
          <w:szCs w:val="22"/>
          <w:lang w:eastAsia="fr-FR"/>
        </w:rPr>
        <w:t>organize a workshop</w:t>
      </w:r>
      <w:r w:rsidR="0071131B" w:rsidRPr="00C4210E">
        <w:rPr>
          <w:rFonts w:eastAsiaTheme="minorHAnsi" w:cstheme="minorBidi"/>
          <w:noProof/>
          <w:szCs w:val="22"/>
          <w:lang w:eastAsia="fr-FR"/>
        </w:rPr>
        <w:t xml:space="preserve"> and call for evidence in autumn 2026</w:t>
      </w:r>
      <w:r w:rsidR="00EA151F" w:rsidRPr="00C4210E">
        <w:rPr>
          <w:rStyle w:val="FootnoteReference"/>
          <w:rFonts w:eastAsiaTheme="minorHAnsi" w:cstheme="minorBidi"/>
          <w:noProof/>
          <w:szCs w:val="22"/>
          <w:lang w:eastAsia="fr-FR"/>
        </w:rPr>
        <w:footnoteReference w:id="90"/>
      </w:r>
      <w:r w:rsidR="003D3C8D" w:rsidRPr="00C4210E">
        <w:rPr>
          <w:rFonts w:eastAsiaTheme="minorHAnsi" w:cstheme="minorBidi"/>
          <w:noProof/>
          <w:szCs w:val="22"/>
          <w:lang w:eastAsia="fr-FR"/>
        </w:rPr>
        <w:t xml:space="preserve">. </w:t>
      </w:r>
      <w:r w:rsidR="00E51455" w:rsidRPr="00C4210E">
        <w:rPr>
          <w:rFonts w:eastAsiaTheme="minorHAnsi" w:cstheme="minorBidi"/>
          <w:noProof/>
          <w:szCs w:val="22"/>
          <w:lang w:eastAsia="fr-FR"/>
        </w:rPr>
        <w:t>Moreover, concerns have been raised by civil society organisations about the low number of declared meetings and informational inconsistencies between institutional stakeholders and lobbyists, as well as failure by some lobbyists to submit annual declarations. No inspections have been carried out and no sanctions imposed</w:t>
      </w:r>
      <w:r w:rsidR="00E51455" w:rsidRPr="00C4210E">
        <w:rPr>
          <w:rFonts w:eastAsiaTheme="minorHAnsi" w:cstheme="minorBidi"/>
          <w:noProof/>
          <w:szCs w:val="22"/>
          <w:vertAlign w:val="superscript"/>
          <w:lang w:eastAsia="fr-FR"/>
        </w:rPr>
        <w:footnoteReference w:id="91"/>
      </w:r>
      <w:r w:rsidR="00E51455" w:rsidRPr="00C4210E">
        <w:rPr>
          <w:rFonts w:eastAsiaTheme="minorHAnsi" w:cstheme="minorBidi"/>
          <w:noProof/>
          <w:szCs w:val="22"/>
          <w:lang w:eastAsia="fr-FR"/>
        </w:rPr>
        <w:t xml:space="preserve">. </w:t>
      </w:r>
      <w:bookmarkEnd w:id="17"/>
      <w:r w:rsidR="00E51455" w:rsidRPr="00C4210E">
        <w:rPr>
          <w:rFonts w:eastAsiaTheme="minorHAnsi" w:cstheme="minorBidi"/>
          <w:noProof/>
          <w:szCs w:val="22"/>
          <w:lang w:eastAsia="fr-FR"/>
        </w:rPr>
        <w:t>The 2025 Annual Report of the NTA on lobbying activities recorded in the Transparency Register has not yet been published</w:t>
      </w:r>
      <w:r w:rsidR="00E51455" w:rsidRPr="00C4210E">
        <w:rPr>
          <w:rFonts w:eastAsiaTheme="minorHAnsi" w:cstheme="minorBidi"/>
          <w:noProof/>
          <w:szCs w:val="22"/>
          <w:vertAlign w:val="superscript"/>
          <w:lang w:eastAsia="fr-FR"/>
        </w:rPr>
        <w:footnoteReference w:id="92"/>
      </w:r>
      <w:r w:rsidR="00E51455" w:rsidRPr="00C4210E">
        <w:rPr>
          <w:rFonts w:eastAsiaTheme="minorHAnsi" w:cstheme="minorBidi"/>
          <w:noProof/>
          <w:szCs w:val="22"/>
          <w:lang w:eastAsia="fr-FR"/>
        </w:rPr>
        <w:t xml:space="preserve">. Overall, </w:t>
      </w:r>
      <w:r w:rsidR="0006555A" w:rsidRPr="00C4210E">
        <w:rPr>
          <w:rFonts w:eastAsiaTheme="minorHAnsi" w:cstheme="minorBidi"/>
          <w:noProof/>
          <w:szCs w:val="22"/>
          <w:lang w:eastAsia="fr-FR"/>
        </w:rPr>
        <w:t xml:space="preserve">while </w:t>
      </w:r>
      <w:r w:rsidR="00BE7A6A" w:rsidRPr="00C4210E">
        <w:rPr>
          <w:rFonts w:eastAsiaTheme="minorHAnsi" w:cstheme="minorBidi"/>
          <w:noProof/>
          <w:szCs w:val="22"/>
          <w:lang w:eastAsia="fr-FR"/>
        </w:rPr>
        <w:t>awareness-raising and institutional coordination efforts are being actively developed</w:t>
      </w:r>
      <w:r w:rsidR="00E51455" w:rsidRPr="00C4210E">
        <w:rPr>
          <w:rFonts w:eastAsiaTheme="minorHAnsi" w:cstheme="minorBidi"/>
          <w:noProof/>
          <w:szCs w:val="22"/>
          <w:lang w:eastAsia="fr-FR"/>
        </w:rPr>
        <w:t>,</w:t>
      </w:r>
      <w:r w:rsidR="007F07F0" w:rsidRPr="00C4210E">
        <w:rPr>
          <w:rFonts w:eastAsiaTheme="minorHAnsi" w:cstheme="minorBidi"/>
          <w:noProof/>
          <w:szCs w:val="22"/>
          <w:lang w:eastAsia="fr-FR"/>
        </w:rPr>
        <w:t xml:space="preserve"> no legislation expanding the definition of a lobbyist has been </w:t>
      </w:r>
      <w:r w:rsidR="00E24D74" w:rsidRPr="00C4210E">
        <w:rPr>
          <w:rFonts w:eastAsiaTheme="minorHAnsi" w:cstheme="minorBidi"/>
          <w:noProof/>
          <w:szCs w:val="22"/>
          <w:lang w:eastAsia="fr-FR"/>
        </w:rPr>
        <w:t>initiated.</w:t>
      </w:r>
      <w:r w:rsidR="00E51455" w:rsidRPr="00C4210E">
        <w:rPr>
          <w:rFonts w:eastAsiaTheme="minorHAnsi" w:cstheme="minorBidi"/>
          <w:noProof/>
          <w:szCs w:val="22"/>
          <w:lang w:eastAsia="fr-FR"/>
        </w:rPr>
        <w:t xml:space="preserve"> </w:t>
      </w:r>
      <w:r w:rsidR="00E24D74" w:rsidRPr="00C4210E">
        <w:rPr>
          <w:rFonts w:eastAsiaTheme="minorHAnsi" w:cstheme="minorBidi"/>
          <w:noProof/>
          <w:szCs w:val="22"/>
          <w:lang w:eastAsia="fr-FR"/>
        </w:rPr>
        <w:t>T</w:t>
      </w:r>
      <w:r w:rsidR="00E51455" w:rsidRPr="00C4210E">
        <w:rPr>
          <w:rFonts w:eastAsiaTheme="minorHAnsi" w:cstheme="minorBidi"/>
          <w:noProof/>
          <w:szCs w:val="22"/>
          <w:lang w:eastAsia="fr-FR"/>
        </w:rPr>
        <w:t xml:space="preserve">here has </w:t>
      </w:r>
      <w:r w:rsidR="00E24D74" w:rsidRPr="00C4210E">
        <w:rPr>
          <w:rFonts w:eastAsiaTheme="minorHAnsi" w:cstheme="minorBidi"/>
          <w:noProof/>
          <w:szCs w:val="22"/>
          <w:lang w:eastAsia="fr-FR"/>
        </w:rPr>
        <w:t xml:space="preserve">therefore </w:t>
      </w:r>
      <w:r w:rsidR="00E51455" w:rsidRPr="00C4210E">
        <w:rPr>
          <w:rFonts w:eastAsiaTheme="minorHAnsi" w:cstheme="minorBidi"/>
          <w:noProof/>
          <w:szCs w:val="22"/>
          <w:lang w:eastAsia="fr-FR"/>
        </w:rPr>
        <w:t xml:space="preserve">been </w:t>
      </w:r>
      <w:r w:rsidR="00CF43C4" w:rsidRPr="00C4210E">
        <w:rPr>
          <w:rFonts w:eastAsiaTheme="minorHAnsi" w:cstheme="minorBidi"/>
          <w:noProof/>
          <w:szCs w:val="22"/>
          <w:lang w:eastAsia="fr-FR"/>
        </w:rPr>
        <w:t xml:space="preserve">only limited </w:t>
      </w:r>
      <w:r w:rsidR="00E51455" w:rsidRPr="00C4210E">
        <w:rPr>
          <w:rFonts w:eastAsiaTheme="minorHAnsi" w:cstheme="minorBidi"/>
          <w:noProof/>
          <w:szCs w:val="22"/>
          <w:lang w:eastAsia="fr-FR"/>
        </w:rPr>
        <w:t>progress on this recommendation.</w:t>
      </w:r>
      <w:r w:rsidR="00E51455" w:rsidRPr="000275CD">
        <w:rPr>
          <w:rFonts w:eastAsiaTheme="minorHAnsi" w:cstheme="minorBidi"/>
          <w:noProof/>
          <w:szCs w:val="22"/>
          <w:lang w:eastAsia="fr-FR"/>
        </w:rPr>
        <w:t xml:space="preserve"> </w:t>
      </w:r>
    </w:p>
    <w:p w14:paraId="4C27D70E" w14:textId="53C520E6" w:rsidR="00E51455" w:rsidRPr="000275CD" w:rsidRDefault="00E51455" w:rsidP="00E51455">
      <w:pPr>
        <w:rPr>
          <w:rFonts w:eastAsiaTheme="minorHAnsi" w:cstheme="minorBidi"/>
          <w:b/>
          <w:bCs/>
          <w:noProof/>
          <w:szCs w:val="22"/>
          <w:lang w:eastAsia="fr-FR"/>
        </w:rPr>
      </w:pPr>
      <w:bookmarkStart w:id="20" w:name="_Hlk223800059"/>
      <w:bookmarkEnd w:id="19"/>
      <w:r w:rsidRPr="000275CD">
        <w:rPr>
          <w:rFonts w:eastAsiaTheme="minorHAnsi" w:cstheme="minorBidi"/>
          <w:b/>
          <w:bCs/>
          <w:noProof/>
          <w:szCs w:val="22"/>
          <w:lang w:eastAsia="fr-FR"/>
        </w:rPr>
        <w:t>Most political parties complied with the funding rules, while concerns remain</w:t>
      </w:r>
      <w:r w:rsidRPr="000275CD">
        <w:rPr>
          <w:rFonts w:eastAsiaTheme="minorHAnsi" w:cstheme="minorBidi"/>
          <w:noProof/>
          <w:szCs w:val="22"/>
          <w:lang w:eastAsia="en-US"/>
        </w:rPr>
        <w:t xml:space="preserve"> </w:t>
      </w:r>
      <w:r w:rsidRPr="000275CD">
        <w:rPr>
          <w:rFonts w:eastAsiaTheme="minorHAnsi" w:cstheme="minorBidi"/>
          <w:b/>
          <w:bCs/>
          <w:noProof/>
          <w:szCs w:val="22"/>
          <w:lang w:eastAsia="fr-FR"/>
        </w:rPr>
        <w:t>regarding transparency and the implementation of the framework.</w:t>
      </w:r>
      <w:r w:rsidRPr="000275CD">
        <w:rPr>
          <w:rFonts w:eastAsiaTheme="minorHAnsi" w:cstheme="minorBidi"/>
          <w:noProof/>
          <w:szCs w:val="22"/>
          <w:lang w:eastAsia="fr-FR"/>
        </w:rPr>
        <w:t xml:space="preserve"> </w:t>
      </w:r>
      <w:bookmarkEnd w:id="20"/>
      <w:r w:rsidRPr="000275CD">
        <w:rPr>
          <w:rFonts w:eastAsiaTheme="minorHAnsi" w:cstheme="minorBidi"/>
          <w:noProof/>
          <w:szCs w:val="22"/>
          <w:lang w:eastAsia="fr-FR"/>
        </w:rPr>
        <w:t>In 2025, CIDA audited</w:t>
      </w:r>
      <w:r w:rsidRPr="000275CD">
        <w:rPr>
          <w:rFonts w:eastAsiaTheme="minorHAnsi" w:cstheme="minorBidi"/>
          <w:noProof/>
          <w:szCs w:val="22"/>
          <w:vertAlign w:val="superscript"/>
          <w:lang w:eastAsia="fr-FR"/>
        </w:rPr>
        <w:footnoteReference w:id="93"/>
      </w:r>
      <w:r w:rsidRPr="000275CD">
        <w:rPr>
          <w:rFonts w:eastAsiaTheme="minorHAnsi" w:cstheme="minorBidi"/>
          <w:noProof/>
          <w:szCs w:val="22"/>
          <w:lang w:eastAsia="fr-FR"/>
        </w:rPr>
        <w:t xml:space="preserve"> 18 political parties, finding that most parties complied with financing rules</w:t>
      </w:r>
      <w:r w:rsidRPr="000275CD">
        <w:rPr>
          <w:rFonts w:eastAsiaTheme="minorHAnsi" w:cstheme="minorBidi"/>
          <w:noProof/>
          <w:szCs w:val="22"/>
          <w:vertAlign w:val="superscript"/>
          <w:lang w:eastAsia="fr-FR"/>
        </w:rPr>
        <w:footnoteReference w:id="94"/>
      </w:r>
      <w:r w:rsidRPr="000275CD">
        <w:rPr>
          <w:rFonts w:eastAsiaTheme="minorHAnsi" w:cstheme="minorBidi"/>
          <w:noProof/>
          <w:szCs w:val="22"/>
          <w:lang w:eastAsia="fr-FR"/>
        </w:rPr>
        <w:t xml:space="preserve">. Nevertheless, </w:t>
      </w:r>
      <w:r w:rsidR="00151567">
        <w:rPr>
          <w:rFonts w:eastAsiaTheme="minorHAnsi" w:cstheme="minorBidi"/>
          <w:noProof/>
          <w:szCs w:val="22"/>
          <w:lang w:eastAsia="fr-FR"/>
        </w:rPr>
        <w:t>eight</w:t>
      </w:r>
      <w:r w:rsidRPr="000275CD">
        <w:rPr>
          <w:rFonts w:eastAsiaTheme="minorHAnsi" w:cstheme="minorBidi"/>
          <w:noProof/>
          <w:szCs w:val="22"/>
          <w:lang w:eastAsia="fr-FR"/>
        </w:rPr>
        <w:t xml:space="preserve"> violations have been detected</w:t>
      </w:r>
      <w:r w:rsidR="00063289" w:rsidRPr="00063289">
        <w:rPr>
          <w:rFonts w:eastAsiaTheme="minorHAnsi"/>
          <w:noProof/>
          <w:szCs w:val="22"/>
          <w:lang w:eastAsia="fr-FR"/>
        </w:rPr>
        <w:t> </w:t>
      </w:r>
      <w:r w:rsidR="00063289">
        <w:rPr>
          <w:rStyle w:val="FootnoteReference"/>
          <w:rFonts w:eastAsiaTheme="minorHAnsi" w:cstheme="minorBidi"/>
          <w:noProof/>
          <w:szCs w:val="22"/>
          <w:lang w:eastAsia="fr-FR"/>
        </w:rPr>
        <w:footnoteReference w:id="95"/>
      </w:r>
      <w:r w:rsidRPr="000275CD">
        <w:rPr>
          <w:rFonts w:eastAsiaTheme="minorHAnsi" w:cstheme="minorBidi"/>
          <w:noProof/>
          <w:szCs w:val="22"/>
          <w:lang w:eastAsia="fr-FR"/>
        </w:rPr>
        <w:t>, with penalties</w:t>
      </w:r>
      <w:r w:rsidRPr="000275CD">
        <w:rPr>
          <w:rFonts w:eastAsiaTheme="minorHAnsi" w:cstheme="minorBidi"/>
          <w:noProof/>
          <w:szCs w:val="22"/>
          <w:vertAlign w:val="superscript"/>
          <w:lang w:eastAsia="fr-FR"/>
        </w:rPr>
        <w:footnoteReference w:id="96"/>
      </w:r>
      <w:r w:rsidRPr="000275CD">
        <w:rPr>
          <w:rFonts w:eastAsiaTheme="minorHAnsi" w:cstheme="minorBidi"/>
          <w:noProof/>
          <w:szCs w:val="22"/>
          <w:lang w:eastAsia="fr-FR"/>
        </w:rPr>
        <w:t xml:space="preserve"> imposed on six parties and warning letters sent to two</w:t>
      </w:r>
      <w:r w:rsidRPr="000275CD">
        <w:rPr>
          <w:rFonts w:eastAsiaTheme="minorHAnsi" w:cstheme="minorBidi"/>
          <w:noProof/>
          <w:szCs w:val="22"/>
          <w:vertAlign w:val="superscript"/>
          <w:lang w:eastAsia="fr-FR"/>
        </w:rPr>
        <w:footnoteReference w:id="97"/>
      </w:r>
      <w:r w:rsidRPr="000275CD">
        <w:rPr>
          <w:rFonts w:eastAsiaTheme="minorHAnsi" w:cstheme="minorBidi"/>
          <w:noProof/>
          <w:szCs w:val="22"/>
          <w:lang w:eastAsia="fr-FR"/>
        </w:rPr>
        <w:t>. The audit of parties that participated in the June 2024 European Parliament elections did not identify any major violations. Civil society organisations report that shortcomings remain in both the legislative framework</w:t>
      </w:r>
      <w:r w:rsidRPr="000275CD">
        <w:rPr>
          <w:rFonts w:eastAsiaTheme="minorHAnsi" w:cstheme="minorBidi"/>
          <w:noProof/>
          <w:szCs w:val="22"/>
          <w:vertAlign w:val="superscript"/>
          <w:lang w:eastAsia="fr-FR"/>
        </w:rPr>
        <w:footnoteReference w:id="98"/>
      </w:r>
      <w:r w:rsidRPr="000275CD">
        <w:rPr>
          <w:rFonts w:eastAsiaTheme="minorHAnsi" w:cstheme="minorBidi"/>
          <w:noProof/>
          <w:szCs w:val="22"/>
          <w:lang w:eastAsia="fr-FR"/>
        </w:rPr>
        <w:t xml:space="preserve"> and the practical implementation of political finance transparency rules, noting limited publication of relevant information by the competent authority, a lack of responses to information requests and complaints, and concerns regarding the effective monitoring and enforcement of legal obligations related to the publication of political parties’ financial statements</w:t>
      </w:r>
      <w:r w:rsidRPr="000275CD">
        <w:rPr>
          <w:rFonts w:eastAsiaTheme="minorHAnsi" w:cstheme="minorBidi"/>
          <w:noProof/>
          <w:szCs w:val="22"/>
          <w:vertAlign w:val="superscript"/>
          <w:lang w:eastAsia="fr-FR"/>
        </w:rPr>
        <w:footnoteReference w:id="99"/>
      </w:r>
      <w:r w:rsidRPr="000275CD">
        <w:rPr>
          <w:rFonts w:eastAsiaTheme="minorHAnsi" w:cstheme="minorBidi"/>
          <w:noProof/>
          <w:szCs w:val="22"/>
          <w:lang w:eastAsia="fr-FR"/>
        </w:rPr>
        <w:t xml:space="preserve">. </w:t>
      </w:r>
    </w:p>
    <w:p w14:paraId="2F72102D" w14:textId="77777777" w:rsidR="00E51455" w:rsidRPr="000275CD" w:rsidRDefault="00E51455" w:rsidP="00E51455">
      <w:pPr>
        <w:rPr>
          <w:rFonts w:eastAsiaTheme="minorHAnsi" w:cstheme="minorBidi"/>
          <w:b/>
          <w:bCs/>
          <w:noProof/>
          <w:szCs w:val="22"/>
          <w:lang w:eastAsia="fr-FR"/>
        </w:rPr>
      </w:pPr>
      <w:bookmarkStart w:id="21" w:name="_Hlk223799947"/>
      <w:bookmarkStart w:id="22" w:name="_Hlk225521778"/>
      <w:bookmarkStart w:id="23" w:name="_Hlk194917012"/>
      <w:r w:rsidRPr="000275CD">
        <w:rPr>
          <w:rFonts w:eastAsiaTheme="minorHAnsi" w:cstheme="minorBidi"/>
          <w:b/>
          <w:bCs/>
          <w:noProof/>
          <w:szCs w:val="22"/>
          <w:lang w:eastAsia="fr-FR"/>
        </w:rPr>
        <w:t>The number of whistleblower reports remained stable.</w:t>
      </w:r>
      <w:r w:rsidRPr="000275CD">
        <w:rPr>
          <w:rFonts w:eastAsiaTheme="minorHAnsi" w:cstheme="minorBidi"/>
          <w:noProof/>
          <w:szCs w:val="22"/>
          <w:lang w:eastAsia="fr-FR"/>
        </w:rPr>
        <w:t xml:space="preserve"> The Government stated that the number of reported cases, as well as their quality are increasing</w:t>
      </w:r>
      <w:r w:rsidRPr="000275CD">
        <w:rPr>
          <w:rFonts w:eastAsiaTheme="minorHAnsi" w:cstheme="minorBidi"/>
          <w:noProof/>
          <w:szCs w:val="22"/>
          <w:vertAlign w:val="superscript"/>
          <w:lang w:eastAsia="fr-FR"/>
        </w:rPr>
        <w:footnoteReference w:id="100"/>
      </w:r>
      <w:r w:rsidRPr="000275CD">
        <w:rPr>
          <w:rFonts w:eastAsiaTheme="minorHAnsi" w:cstheme="minorBidi"/>
          <w:noProof/>
          <w:szCs w:val="22"/>
          <w:lang w:eastAsia="fr-FR"/>
        </w:rPr>
        <w:t>. In 2025, 74 whistleblower reports (82 in 2024) were submitted to the National Transparency Authority NTA, acting as the external reporting channel, of which four are being investigated and three have been forwarded to the competent authorities for a follow-up (five and two respectively in 2024)</w:t>
      </w:r>
      <w:r w:rsidRPr="000275CD">
        <w:rPr>
          <w:rFonts w:eastAsiaTheme="minorHAnsi" w:cstheme="minorBidi"/>
          <w:noProof/>
          <w:szCs w:val="22"/>
          <w:vertAlign w:val="superscript"/>
          <w:lang w:eastAsia="fr-FR"/>
        </w:rPr>
        <w:footnoteReference w:id="101"/>
      </w:r>
      <w:r w:rsidRPr="000275CD">
        <w:rPr>
          <w:rFonts w:eastAsiaTheme="minorHAnsi" w:cstheme="minorBidi"/>
          <w:noProof/>
          <w:szCs w:val="22"/>
          <w:lang w:eastAsia="fr-FR"/>
        </w:rPr>
        <w:t>. In addition, the NTA organised a number of training sessions for local government officials and the healthcare sector on the role of officers who receive and follow-up on whistleblower reports</w:t>
      </w:r>
      <w:r w:rsidRPr="000275CD">
        <w:rPr>
          <w:rFonts w:eastAsiaTheme="minorHAnsi" w:cstheme="minorBidi"/>
          <w:noProof/>
          <w:szCs w:val="22"/>
          <w:vertAlign w:val="superscript"/>
          <w:lang w:eastAsia="fr-FR"/>
        </w:rPr>
        <w:footnoteReference w:id="102"/>
      </w:r>
      <w:r w:rsidRPr="000275CD">
        <w:rPr>
          <w:rFonts w:eastAsiaTheme="minorHAnsi" w:cstheme="minorBidi"/>
          <w:noProof/>
          <w:szCs w:val="22"/>
          <w:lang w:eastAsia="fr-FR"/>
        </w:rPr>
        <w:t>. Civil society notes a lack of information on the website of the relevant authorities about internal reporting channels and reporting officers</w:t>
      </w:r>
      <w:r w:rsidRPr="000275CD">
        <w:rPr>
          <w:rFonts w:eastAsiaTheme="minorHAnsi" w:cstheme="minorBidi"/>
          <w:noProof/>
          <w:szCs w:val="22"/>
          <w:vertAlign w:val="superscript"/>
          <w:lang w:eastAsia="fr-FR"/>
        </w:rPr>
        <w:footnoteReference w:id="103"/>
      </w:r>
      <w:r w:rsidRPr="000275CD">
        <w:rPr>
          <w:rFonts w:eastAsiaTheme="minorHAnsi" w:cstheme="minorBidi"/>
          <w:noProof/>
          <w:szCs w:val="22"/>
          <w:lang w:eastAsia="fr-FR"/>
        </w:rPr>
        <w:t>.</w:t>
      </w:r>
    </w:p>
    <w:p w14:paraId="45E34AE4" w14:textId="5A8851E1" w:rsidR="00E51455" w:rsidRPr="000275CD" w:rsidRDefault="00E51455" w:rsidP="00E51455">
      <w:pPr>
        <w:rPr>
          <w:noProof/>
          <w:lang w:eastAsia="fr-FR"/>
        </w:rPr>
      </w:pPr>
      <w:r w:rsidRPr="000275CD">
        <w:rPr>
          <w:rFonts w:eastAsiaTheme="minorHAnsi" w:cstheme="minorBidi"/>
          <w:b/>
          <w:noProof/>
          <w:color w:val="000000"/>
          <w:szCs w:val="22"/>
          <w:lang w:eastAsia="en-US"/>
        </w:rPr>
        <w:t xml:space="preserve">Recent reforms aim to </w:t>
      </w:r>
      <w:r w:rsidR="005905F1">
        <w:rPr>
          <w:rFonts w:eastAsiaTheme="minorHAnsi" w:cstheme="minorBidi"/>
          <w:b/>
          <w:noProof/>
          <w:color w:val="000000"/>
          <w:szCs w:val="22"/>
          <w:lang w:eastAsia="en-US"/>
        </w:rPr>
        <w:t>address structural inefficiencies</w:t>
      </w:r>
      <w:r w:rsidR="00146FEC">
        <w:rPr>
          <w:rFonts w:eastAsiaTheme="minorHAnsi" w:cstheme="minorBidi"/>
          <w:b/>
          <w:noProof/>
          <w:color w:val="000000"/>
          <w:szCs w:val="22"/>
          <w:lang w:eastAsia="en-US"/>
        </w:rPr>
        <w:t xml:space="preserve">, enhance centralisation and </w:t>
      </w:r>
      <w:r w:rsidRPr="000275CD">
        <w:rPr>
          <w:rFonts w:eastAsiaTheme="minorHAnsi" w:cstheme="minorBidi"/>
          <w:b/>
          <w:noProof/>
          <w:color w:val="000000"/>
          <w:szCs w:val="22"/>
          <w:lang w:eastAsia="en-US"/>
        </w:rPr>
        <w:t xml:space="preserve">strengthen transparency and efficiency in public procurement to </w:t>
      </w:r>
      <w:bookmarkEnd w:id="21"/>
      <w:r w:rsidR="00320373">
        <w:rPr>
          <w:rFonts w:eastAsiaTheme="minorHAnsi" w:cstheme="minorBidi"/>
          <w:b/>
          <w:noProof/>
          <w:color w:val="000000"/>
          <w:szCs w:val="22"/>
          <w:lang w:eastAsia="en-US"/>
        </w:rPr>
        <w:t>reduce</w:t>
      </w:r>
      <w:r w:rsidR="00320373" w:rsidRPr="000275CD">
        <w:rPr>
          <w:rFonts w:eastAsiaTheme="minorHAnsi" w:cstheme="minorBidi"/>
          <w:b/>
          <w:noProof/>
          <w:color w:val="000000"/>
          <w:szCs w:val="22"/>
          <w:lang w:eastAsia="en-US"/>
        </w:rPr>
        <w:t xml:space="preserve"> </w:t>
      </w:r>
      <w:r w:rsidRPr="000275CD">
        <w:rPr>
          <w:rFonts w:eastAsiaTheme="minorHAnsi" w:cstheme="minorBidi"/>
          <w:b/>
          <w:noProof/>
          <w:color w:val="000000"/>
          <w:szCs w:val="22"/>
          <w:lang w:eastAsia="en-US"/>
        </w:rPr>
        <w:t xml:space="preserve">corruption risks. </w:t>
      </w:r>
      <w:bookmarkEnd w:id="22"/>
      <w:r w:rsidRPr="000275CD">
        <w:rPr>
          <w:rFonts w:eastAsiaTheme="minorHAnsi" w:cstheme="minorBidi"/>
          <w:noProof/>
          <w:color w:val="000000"/>
          <w:szCs w:val="22"/>
          <w:lang w:eastAsia="en-US"/>
        </w:rPr>
        <w:t>Businesses’ attitudes towards corruption in the EU show that 45% of companies in Greece (EU average 30%) think that corruption has prevented them from winning a public tender in practice in the last three years. 23% of businesses perceive the level of independence of the public procurement review body (Single Independent Public Procurement Authority) as very or fairly good, which has significantly decreased in comparison with 2025 (39%)</w:t>
      </w:r>
      <w:r w:rsidRPr="000275CD">
        <w:rPr>
          <w:rFonts w:eastAsiaTheme="minorHAnsi" w:cstheme="minorBidi"/>
          <w:noProof/>
          <w:color w:val="000000"/>
          <w:szCs w:val="22"/>
          <w:vertAlign w:val="superscript"/>
          <w:lang w:eastAsia="en-US"/>
        </w:rPr>
        <w:footnoteReference w:id="104"/>
      </w:r>
      <w:r w:rsidRPr="000275CD">
        <w:rPr>
          <w:rFonts w:eastAsiaTheme="minorHAnsi" w:cstheme="minorBidi"/>
          <w:noProof/>
          <w:color w:val="000000"/>
          <w:szCs w:val="22"/>
          <w:lang w:eastAsia="en-US"/>
        </w:rPr>
        <w:t>. The Single Market and Competitiveness Scoreboard on access to public procurement in Greece reports 58% of single bids for 2025 (EU average 27%).</w:t>
      </w:r>
      <w:r w:rsidRPr="000275CD">
        <w:rPr>
          <w:rFonts w:eastAsiaTheme="minorHAnsi" w:cstheme="minorBidi"/>
          <w:i/>
          <w:noProof/>
          <w:szCs w:val="22"/>
          <w:lang w:eastAsia="en-US"/>
        </w:rPr>
        <w:t xml:space="preserve"> </w:t>
      </w:r>
      <w:r w:rsidRPr="000275CD">
        <w:rPr>
          <w:rFonts w:eastAsiaTheme="minorHAnsi" w:cstheme="minorBidi"/>
          <w:noProof/>
          <w:szCs w:val="22"/>
          <w:lang w:eastAsia="fr-FR"/>
        </w:rPr>
        <w:t>Public procurement and major infrastructure projects remain vulnerable to corruption</w:t>
      </w:r>
      <w:r w:rsidRPr="000275CD">
        <w:rPr>
          <w:rFonts w:eastAsiaTheme="minorHAnsi" w:cstheme="minorBidi"/>
          <w:noProof/>
          <w:szCs w:val="22"/>
          <w:vertAlign w:val="superscript"/>
          <w:lang w:eastAsia="fr-FR"/>
        </w:rPr>
        <w:footnoteReference w:id="105"/>
      </w:r>
      <w:r w:rsidRPr="000275CD">
        <w:rPr>
          <w:rFonts w:eastAsiaTheme="minorHAnsi" w:cstheme="minorBidi"/>
          <w:noProof/>
          <w:szCs w:val="22"/>
          <w:lang w:eastAsia="fr-FR"/>
        </w:rPr>
        <w:t>. The Hellenic Single Public Procurement Authority (HSPPA) reported receiving mainly complaints relating to direct award of contracts without appropriate market research</w:t>
      </w:r>
      <w:r w:rsidRPr="000275CD">
        <w:rPr>
          <w:rFonts w:eastAsiaTheme="minorHAnsi" w:cstheme="minorBidi"/>
          <w:noProof/>
          <w:szCs w:val="22"/>
          <w:vertAlign w:val="superscript"/>
          <w:lang w:eastAsia="fr-FR"/>
        </w:rPr>
        <w:footnoteReference w:id="106"/>
      </w:r>
      <w:r w:rsidRPr="000275CD">
        <w:rPr>
          <w:rFonts w:eastAsiaTheme="minorHAnsi" w:cstheme="minorBidi"/>
          <w:noProof/>
          <w:szCs w:val="22"/>
          <w:lang w:eastAsia="fr-FR"/>
        </w:rPr>
        <w:t>. The new Law 5218/2025 reforms the legal framework for public procurement</w:t>
      </w:r>
      <w:r w:rsidRPr="000275CD" w:rsidDel="00BF06E1">
        <w:rPr>
          <w:rFonts w:eastAsiaTheme="minorHAnsi" w:cstheme="minorBidi"/>
          <w:noProof/>
          <w:szCs w:val="22"/>
          <w:lang w:eastAsia="fr-FR"/>
        </w:rPr>
        <w:t xml:space="preserve"> </w:t>
      </w:r>
      <w:r w:rsidRPr="000275CD">
        <w:rPr>
          <w:rFonts w:eastAsiaTheme="minorHAnsi" w:cstheme="minorBidi"/>
          <w:noProof/>
          <w:szCs w:val="22"/>
          <w:lang w:eastAsia="fr-FR"/>
        </w:rPr>
        <w:t>with the aim of strengthening transparency, integrity and procedural efficiency by establishing a system of training and certification for civil servants handling public procurement. Additionally, the staff of the HSPPA was increased to reduce the length of proceedings and accelerate the examination of pre-contractual remedies</w:t>
      </w:r>
      <w:r w:rsidRPr="000275CD">
        <w:rPr>
          <w:rFonts w:eastAsiaTheme="minorHAnsi" w:cstheme="minorBidi"/>
          <w:noProof/>
          <w:szCs w:val="22"/>
          <w:vertAlign w:val="superscript"/>
          <w:lang w:eastAsia="fr-FR"/>
        </w:rPr>
        <w:footnoteReference w:id="107"/>
      </w:r>
      <w:r w:rsidRPr="000275CD">
        <w:rPr>
          <w:rFonts w:eastAsiaTheme="minorHAnsi" w:cstheme="minorBidi"/>
          <w:noProof/>
          <w:szCs w:val="22"/>
          <w:lang w:eastAsia="fr-FR"/>
        </w:rPr>
        <w:t>. The Code of Conduct for Public Procurement Professionals has been published</w:t>
      </w:r>
      <w:r w:rsidRPr="000275CD">
        <w:rPr>
          <w:rFonts w:eastAsiaTheme="minorHAnsi" w:cstheme="minorBidi"/>
          <w:noProof/>
          <w:szCs w:val="22"/>
          <w:vertAlign w:val="superscript"/>
          <w:lang w:eastAsia="fr-FR"/>
        </w:rPr>
        <w:footnoteReference w:id="108"/>
      </w:r>
      <w:r w:rsidRPr="000275CD">
        <w:rPr>
          <w:rFonts w:eastAsiaTheme="minorHAnsi" w:cstheme="minorBidi"/>
          <w:noProof/>
          <w:szCs w:val="22"/>
          <w:lang w:eastAsia="fr-FR"/>
        </w:rPr>
        <w:t>. Moreover, a Register of Public Procurement Professionals has been established, aiming to strengthen the professionalisation, integrity and accountability of officials involved in public procurement procedures</w:t>
      </w:r>
      <w:r w:rsidRPr="000275CD">
        <w:rPr>
          <w:rFonts w:eastAsiaTheme="minorHAnsi" w:cstheme="minorBidi"/>
          <w:noProof/>
          <w:szCs w:val="22"/>
          <w:vertAlign w:val="superscript"/>
          <w:lang w:eastAsia="fr-FR"/>
        </w:rPr>
        <w:footnoteReference w:id="109"/>
      </w:r>
      <w:r w:rsidRPr="000275CD">
        <w:rPr>
          <w:rFonts w:eastAsiaTheme="minorHAnsi" w:cstheme="minorBidi"/>
          <w:noProof/>
          <w:szCs w:val="22"/>
          <w:lang w:eastAsia="fr-FR"/>
        </w:rPr>
        <w:t>. The functioning of the Integrated Licencing and Inspections Management System, which standardises and digitalises licencing processes and actions serving citizens, businesses and the public administration, is perceived positively by businesses, despite some weaknesses, in particular lacking interoperability with other systems such as urban and road planning</w:t>
      </w:r>
      <w:r w:rsidRPr="000275CD">
        <w:rPr>
          <w:rFonts w:eastAsiaTheme="minorHAnsi" w:cstheme="minorBidi"/>
          <w:noProof/>
          <w:szCs w:val="22"/>
          <w:vertAlign w:val="superscript"/>
          <w:lang w:eastAsia="fr-FR"/>
        </w:rPr>
        <w:footnoteReference w:id="110"/>
      </w:r>
      <w:r w:rsidRPr="000275CD">
        <w:rPr>
          <w:rFonts w:eastAsiaTheme="minorHAnsi" w:cstheme="minorBidi"/>
          <w:noProof/>
          <w:szCs w:val="22"/>
          <w:lang w:eastAsia="fr-FR"/>
        </w:rPr>
        <w:t xml:space="preserve">. </w:t>
      </w:r>
      <w:bookmarkEnd w:id="6"/>
      <w:bookmarkEnd w:id="23"/>
      <w:r w:rsidRPr="000275CD">
        <w:rPr>
          <w:rFonts w:eastAsiaTheme="minorHAnsi" w:cstheme="minorBidi"/>
          <w:noProof/>
          <w:szCs w:val="22"/>
          <w:lang w:eastAsia="fr-FR"/>
        </w:rPr>
        <w:t>Beside public procurement, local government, social security and benefits, healthcare and EU funds are reported as the sectors most vulnerable to corruption risks</w:t>
      </w:r>
      <w:r w:rsidRPr="000275CD">
        <w:rPr>
          <w:rFonts w:eastAsiaTheme="minorHAnsi" w:cstheme="minorBidi"/>
          <w:noProof/>
          <w:szCs w:val="22"/>
          <w:vertAlign w:val="superscript"/>
          <w:lang w:eastAsia="fr-FR"/>
        </w:rPr>
        <w:footnoteReference w:id="111"/>
      </w:r>
      <w:r w:rsidRPr="000275CD">
        <w:rPr>
          <w:rFonts w:eastAsiaTheme="minorHAnsi" w:cstheme="minorBidi"/>
          <w:noProof/>
          <w:szCs w:val="22"/>
          <w:lang w:eastAsia="fr-FR"/>
        </w:rPr>
        <w:t xml:space="preserve">. </w:t>
      </w:r>
    </w:p>
    <w:p w14:paraId="3BBCDDAD" w14:textId="77777777" w:rsidR="00E51455" w:rsidRPr="000275CD" w:rsidRDefault="00E51455" w:rsidP="00FA43FF">
      <w:pPr>
        <w:pStyle w:val="ListParagraph"/>
        <w:keepNext/>
        <w:numPr>
          <w:ilvl w:val="0"/>
          <w:numId w:val="27"/>
        </w:numPr>
        <w:outlineLvl w:val="0"/>
        <w:rPr>
          <w:b/>
          <w:smallCaps/>
          <w:noProof/>
          <w:szCs w:val="24"/>
          <w:u w:val="single"/>
          <w:lang w:val="en-IE" w:eastAsia="fr-FR"/>
        </w:rPr>
      </w:pPr>
      <w:r w:rsidRPr="000275CD">
        <w:rPr>
          <w:b/>
          <w:smallCaps/>
          <w:noProof/>
          <w:szCs w:val="24"/>
          <w:u w:val="single"/>
          <w:lang w:val="en-IE" w:eastAsia="fr-FR"/>
        </w:rPr>
        <w:t xml:space="preserve">Media Pluralism and Media Freedom </w:t>
      </w:r>
    </w:p>
    <w:p w14:paraId="57910F50" w14:textId="49D7BE62" w:rsidR="00E51455" w:rsidRPr="000275CD" w:rsidRDefault="00E51455" w:rsidP="00E51455">
      <w:pPr>
        <w:rPr>
          <w:rFonts w:eastAsiaTheme="minorHAnsi" w:cstheme="minorBidi"/>
          <w:noProof/>
          <w:color w:val="000000" w:themeColor="text1"/>
          <w:szCs w:val="22"/>
          <w:lang w:eastAsia="en-GB"/>
        </w:rPr>
      </w:pPr>
      <w:bookmarkStart w:id="24" w:name="_Hlk224565999"/>
      <w:r w:rsidRPr="000275CD">
        <w:rPr>
          <w:rFonts w:eastAsiaTheme="minorHAnsi" w:cstheme="minorBidi"/>
          <w:b/>
          <w:bCs/>
          <w:noProof/>
          <w:szCs w:val="22"/>
          <w:lang w:eastAsia="en-GB"/>
        </w:rPr>
        <w:t>Strengthening</w:t>
      </w:r>
      <w:r w:rsidRPr="000275CD">
        <w:rPr>
          <w:rFonts w:eastAsiaTheme="minorHAnsi" w:cstheme="minorBidi"/>
          <w:b/>
          <w:noProof/>
          <w:szCs w:val="22"/>
          <w:lang w:eastAsia="en-GB"/>
        </w:rPr>
        <w:t xml:space="preserve"> of funding</w:t>
      </w:r>
      <w:r w:rsidR="002B2052">
        <w:rPr>
          <w:rFonts w:eastAsiaTheme="minorHAnsi" w:cstheme="minorBidi"/>
          <w:b/>
          <w:noProof/>
          <w:szCs w:val="22"/>
          <w:lang w:eastAsia="en-GB"/>
        </w:rPr>
        <w:t>,</w:t>
      </w:r>
      <w:r w:rsidRPr="000275CD">
        <w:rPr>
          <w:rFonts w:eastAsiaTheme="minorHAnsi" w:cstheme="minorBidi"/>
          <w:b/>
          <w:noProof/>
          <w:szCs w:val="22"/>
          <w:lang w:eastAsia="en-GB"/>
        </w:rPr>
        <w:t xml:space="preserve"> staff</w:t>
      </w:r>
      <w:r w:rsidR="002B2052">
        <w:rPr>
          <w:rFonts w:eastAsiaTheme="minorHAnsi" w:cstheme="minorBidi"/>
          <w:b/>
          <w:noProof/>
          <w:szCs w:val="22"/>
          <w:lang w:eastAsia="en-GB"/>
        </w:rPr>
        <w:t xml:space="preserve"> and supervising role</w:t>
      </w:r>
      <w:r w:rsidRPr="000275CD">
        <w:rPr>
          <w:rFonts w:eastAsiaTheme="minorHAnsi" w:cstheme="minorBidi"/>
          <w:b/>
          <w:noProof/>
          <w:szCs w:val="22"/>
          <w:lang w:eastAsia="en-GB"/>
        </w:rPr>
        <w:t xml:space="preserve"> of the media regulator continues, including through new legislation, </w:t>
      </w:r>
      <w:r w:rsidRPr="000275CD">
        <w:rPr>
          <w:rFonts w:eastAsiaTheme="minorHAnsi" w:cstheme="minorBidi"/>
          <w:b/>
          <w:bCs/>
          <w:noProof/>
          <w:szCs w:val="22"/>
          <w:lang w:eastAsia="en-GB"/>
        </w:rPr>
        <w:t>while adapting</w:t>
      </w:r>
      <w:r w:rsidRPr="000275CD">
        <w:rPr>
          <w:rFonts w:eastAsiaTheme="minorHAnsi" w:cstheme="minorBidi"/>
          <w:b/>
          <w:noProof/>
          <w:szCs w:val="22"/>
          <w:lang w:eastAsia="en-GB"/>
        </w:rPr>
        <w:t xml:space="preserve"> to the regulator’s new competences. </w:t>
      </w:r>
      <w:bookmarkEnd w:id="24"/>
      <w:r w:rsidRPr="000275CD">
        <w:rPr>
          <w:rFonts w:eastAsiaTheme="minorHAnsi" w:cstheme="minorBidi"/>
          <w:noProof/>
          <w:szCs w:val="22"/>
          <w:lang w:eastAsia="en-GB"/>
        </w:rPr>
        <w:t>A new law has been adopted which further strengthens the mandate and resources of the National Council for Radio and Television (NCRTV), with a view to aligning with the European Media Freedom Act (EMFA)</w:t>
      </w:r>
      <w:r w:rsidRPr="000275CD">
        <w:rPr>
          <w:rFonts w:eastAsiaTheme="minorHAnsi" w:cstheme="minorBidi"/>
          <w:noProof/>
          <w:szCs w:val="22"/>
          <w:vertAlign w:val="superscript"/>
          <w:lang w:eastAsia="en-US"/>
        </w:rPr>
        <w:footnoteReference w:id="112"/>
      </w:r>
      <w:r w:rsidRPr="000275CD">
        <w:rPr>
          <w:rFonts w:eastAsiaTheme="minorHAnsi" w:cstheme="minorBidi"/>
          <w:noProof/>
          <w:szCs w:val="22"/>
          <w:lang w:eastAsia="en-GB"/>
        </w:rPr>
        <w:t xml:space="preserve">. In addition, in </w:t>
      </w:r>
      <w:r w:rsidR="009F26D4">
        <w:rPr>
          <w:rFonts w:eastAsiaTheme="minorHAnsi" w:cstheme="minorBidi"/>
          <w:noProof/>
          <w:szCs w:val="22"/>
          <w:lang w:eastAsia="en-GB"/>
        </w:rPr>
        <w:t>Ju</w:t>
      </w:r>
      <w:r w:rsidR="009D5975">
        <w:rPr>
          <w:rFonts w:eastAsiaTheme="minorHAnsi" w:cstheme="minorBidi"/>
          <w:noProof/>
          <w:szCs w:val="22"/>
          <w:lang w:eastAsia="en-GB"/>
        </w:rPr>
        <w:t>ne</w:t>
      </w:r>
      <w:r w:rsidR="009F26D4" w:rsidRPr="000275CD">
        <w:rPr>
          <w:rFonts w:eastAsiaTheme="minorHAnsi" w:cstheme="minorBidi"/>
          <w:noProof/>
          <w:szCs w:val="22"/>
          <w:lang w:eastAsia="en-GB"/>
        </w:rPr>
        <w:t xml:space="preserve"> </w:t>
      </w:r>
      <w:r w:rsidRPr="000275CD">
        <w:rPr>
          <w:rFonts w:eastAsiaTheme="minorHAnsi" w:cstheme="minorBidi"/>
          <w:noProof/>
          <w:szCs w:val="22"/>
          <w:lang w:eastAsia="en-GB"/>
        </w:rPr>
        <w:t>202</w:t>
      </w:r>
      <w:r w:rsidR="009F26D4">
        <w:rPr>
          <w:rFonts w:eastAsiaTheme="minorHAnsi" w:cstheme="minorBidi"/>
          <w:noProof/>
          <w:szCs w:val="22"/>
          <w:lang w:eastAsia="en-GB"/>
        </w:rPr>
        <w:t>6</w:t>
      </w:r>
      <w:r w:rsidRPr="000275CD">
        <w:rPr>
          <w:rFonts w:eastAsiaTheme="minorHAnsi" w:cstheme="minorBidi"/>
          <w:noProof/>
          <w:szCs w:val="22"/>
          <w:lang w:eastAsia="en-GB"/>
        </w:rPr>
        <w:t xml:space="preserve"> a </w:t>
      </w:r>
      <w:r w:rsidR="00A57E55">
        <w:rPr>
          <w:rFonts w:eastAsiaTheme="minorHAnsi" w:cstheme="minorBidi"/>
          <w:noProof/>
          <w:szCs w:val="22"/>
          <w:lang w:eastAsia="en-GB"/>
        </w:rPr>
        <w:t xml:space="preserve">new </w:t>
      </w:r>
      <w:r w:rsidRPr="000275CD">
        <w:rPr>
          <w:rFonts w:eastAsiaTheme="minorHAnsi" w:cstheme="minorBidi"/>
          <w:noProof/>
          <w:szCs w:val="22"/>
          <w:lang w:eastAsia="en-GB"/>
        </w:rPr>
        <w:t xml:space="preserve">law on licensing of free-to-air terrestrial digital television with regional scope was </w:t>
      </w:r>
      <w:r w:rsidR="00E45128">
        <w:rPr>
          <w:rFonts w:eastAsiaTheme="minorHAnsi" w:cstheme="minorBidi"/>
          <w:noProof/>
          <w:szCs w:val="22"/>
          <w:lang w:eastAsia="en-GB"/>
        </w:rPr>
        <w:t>adopted by</w:t>
      </w:r>
      <w:r w:rsidR="00C10734">
        <w:rPr>
          <w:rFonts w:eastAsiaTheme="minorHAnsi" w:cstheme="minorBidi"/>
          <w:noProof/>
          <w:szCs w:val="22"/>
          <w:lang w:eastAsia="en-GB"/>
        </w:rPr>
        <w:t xml:space="preserve"> Parliament</w:t>
      </w:r>
      <w:r w:rsidRPr="000275CD">
        <w:rPr>
          <w:rFonts w:eastAsiaTheme="minorHAnsi" w:cstheme="minorBidi"/>
          <w:noProof/>
          <w:szCs w:val="22"/>
          <w:lang w:eastAsia="en-GB"/>
        </w:rPr>
        <w:t xml:space="preserve"> that is also intended to increase the national regulator’s financial and human resources. A similar draft on the licensing of radio stations is to follow in the coming months and is regarded as a positive development for regional media and competitiveness across the media sector</w:t>
      </w:r>
      <w:r w:rsidRPr="000275CD">
        <w:rPr>
          <w:rFonts w:eastAsiaTheme="minorHAnsi" w:cstheme="minorBidi"/>
          <w:noProof/>
          <w:szCs w:val="22"/>
          <w:vertAlign w:val="superscript"/>
          <w:lang w:eastAsia="en-US"/>
        </w:rPr>
        <w:footnoteReference w:id="113"/>
      </w:r>
      <w:r w:rsidRPr="000275CD">
        <w:rPr>
          <w:rFonts w:eastAsiaTheme="minorHAnsi" w:cstheme="minorBidi"/>
          <w:noProof/>
          <w:szCs w:val="22"/>
          <w:lang w:eastAsia="en-GB"/>
        </w:rPr>
        <w:t xml:space="preserve">. </w:t>
      </w:r>
      <w:r w:rsidR="002B6242">
        <w:rPr>
          <w:rFonts w:eastAsiaTheme="minorHAnsi" w:cstheme="minorBidi"/>
          <w:noProof/>
          <w:szCs w:val="22"/>
          <w:lang w:eastAsia="en-GB"/>
        </w:rPr>
        <w:t xml:space="preserve">While there are still </w:t>
      </w:r>
      <w:r w:rsidR="00660A6B">
        <w:rPr>
          <w:rFonts w:eastAsiaTheme="minorHAnsi" w:cstheme="minorBidi"/>
          <w:noProof/>
          <w:szCs w:val="22"/>
          <w:lang w:eastAsia="en-GB"/>
        </w:rPr>
        <w:t>s</w:t>
      </w:r>
      <w:r w:rsidR="002B6242">
        <w:rPr>
          <w:rFonts w:eastAsiaTheme="minorHAnsi" w:cstheme="minorBidi"/>
          <w:noProof/>
          <w:szCs w:val="22"/>
          <w:lang w:eastAsia="en-GB"/>
        </w:rPr>
        <w:t>ome vacancies, i</w:t>
      </w:r>
      <w:r w:rsidRPr="000275CD">
        <w:rPr>
          <w:rFonts w:eastAsiaTheme="minorHAnsi" w:cstheme="minorBidi"/>
          <w:noProof/>
          <w:szCs w:val="22"/>
          <w:lang w:eastAsia="en-GB"/>
        </w:rPr>
        <w:t>n 2025, new employees with various profiles joined NCRTV,</w:t>
      </w:r>
      <w:r w:rsidRPr="000275CD">
        <w:rPr>
          <w:rFonts w:eastAsiaTheme="minorHAnsi" w:cstheme="minorBidi"/>
          <w:noProof/>
          <w:szCs w:val="22"/>
          <w:vertAlign w:val="superscript"/>
          <w:lang w:eastAsia="en-US"/>
        </w:rPr>
        <w:footnoteReference w:id="114"/>
      </w:r>
      <w:r w:rsidRPr="000275CD">
        <w:rPr>
          <w:rFonts w:eastAsiaTheme="minorHAnsi" w:cstheme="minorBidi"/>
          <w:noProof/>
          <w:szCs w:val="22"/>
          <w:lang w:eastAsia="en-GB"/>
        </w:rPr>
        <w:t>. In the meantime, NCRTV continues its internal reorganisation to accommodate new competences</w:t>
      </w:r>
      <w:r w:rsidRPr="000275CD">
        <w:rPr>
          <w:rFonts w:eastAsiaTheme="minorHAnsi" w:cstheme="minorBidi"/>
          <w:noProof/>
          <w:szCs w:val="22"/>
          <w:vertAlign w:val="superscript"/>
          <w:lang w:eastAsia="en-US"/>
        </w:rPr>
        <w:footnoteReference w:id="115"/>
      </w:r>
      <w:r w:rsidRPr="000275CD">
        <w:rPr>
          <w:rFonts w:eastAsiaTheme="minorHAnsi" w:cstheme="minorBidi"/>
          <w:noProof/>
          <w:szCs w:val="22"/>
          <w:lang w:eastAsia="en-GB"/>
        </w:rPr>
        <w:t xml:space="preserve"> and notes the importance of successfully adapting its regulatory activities to the increasing digitalisation of the audiovisual media market</w:t>
      </w:r>
      <w:r w:rsidRPr="000275CD">
        <w:rPr>
          <w:rFonts w:eastAsiaTheme="minorHAnsi" w:cstheme="minorBidi"/>
          <w:noProof/>
          <w:szCs w:val="22"/>
          <w:vertAlign w:val="superscript"/>
          <w:lang w:eastAsia="en-US"/>
        </w:rPr>
        <w:footnoteReference w:id="116"/>
      </w:r>
      <w:bookmarkStart w:id="25" w:name="_Hlk232068577"/>
      <w:r w:rsidRPr="000275CD">
        <w:rPr>
          <w:rFonts w:eastAsiaTheme="minorHAnsi" w:cstheme="minorBidi"/>
          <w:noProof/>
          <w:szCs w:val="22"/>
          <w:lang w:eastAsia="en-GB"/>
        </w:rPr>
        <w:t>.</w:t>
      </w:r>
      <w:bookmarkEnd w:id="25"/>
      <w:r w:rsidRPr="000275CD">
        <w:rPr>
          <w:rFonts w:eastAsiaTheme="minorHAnsi" w:cstheme="minorBidi"/>
          <w:noProof/>
          <w:szCs w:val="22"/>
          <w:lang w:eastAsia="en-GB"/>
        </w:rPr>
        <w:t xml:space="preserve"> </w:t>
      </w:r>
      <w:r w:rsidR="00122118">
        <w:rPr>
          <w:rFonts w:eastAsiaTheme="minorHAnsi" w:cstheme="minorBidi"/>
          <w:noProof/>
          <w:szCs w:val="22"/>
          <w:lang w:eastAsia="en-GB"/>
        </w:rPr>
        <w:t xml:space="preserve">Prior to </w:t>
      </w:r>
      <w:r w:rsidR="00E727CB">
        <w:rPr>
          <w:rFonts w:eastAsiaTheme="minorHAnsi" w:cstheme="minorBidi"/>
          <w:noProof/>
          <w:szCs w:val="22"/>
          <w:lang w:eastAsia="en-GB"/>
        </w:rPr>
        <w:t xml:space="preserve">the introduction of </w:t>
      </w:r>
      <w:r w:rsidR="00AE2689">
        <w:rPr>
          <w:rFonts w:eastAsiaTheme="minorHAnsi" w:cstheme="minorBidi"/>
          <w:noProof/>
          <w:szCs w:val="22"/>
          <w:lang w:eastAsia="en-GB"/>
        </w:rPr>
        <w:t xml:space="preserve">measures in </w:t>
      </w:r>
      <w:r w:rsidR="00E727CB">
        <w:rPr>
          <w:rFonts w:eastAsiaTheme="minorHAnsi" w:cstheme="minorBidi"/>
          <w:noProof/>
          <w:szCs w:val="22"/>
          <w:lang w:eastAsia="en-GB"/>
        </w:rPr>
        <w:t xml:space="preserve">2026, </w:t>
      </w:r>
      <w:r w:rsidR="00E727CB">
        <w:rPr>
          <w:rFonts w:eastAsiaTheme="minorHAnsi" w:cstheme="minorBidi"/>
          <w:noProof/>
          <w:szCs w:val="22"/>
          <w:lang w:eastAsia="en-US"/>
        </w:rPr>
        <w:t>t</w:t>
      </w:r>
      <w:r w:rsidR="00387683">
        <w:rPr>
          <w:rFonts w:eastAsiaTheme="minorHAnsi" w:cstheme="minorBidi"/>
          <w:noProof/>
          <w:szCs w:val="22"/>
          <w:lang w:eastAsia="en-US"/>
        </w:rPr>
        <w:t>he</w:t>
      </w:r>
      <w:r w:rsidRPr="000275CD">
        <w:rPr>
          <w:rFonts w:eastAsiaTheme="minorHAnsi" w:cstheme="minorBidi"/>
          <w:noProof/>
          <w:szCs w:val="22"/>
          <w:lang w:eastAsia="en-US"/>
        </w:rPr>
        <w:t xml:space="preserve"> Media Pluralism Monitor (MPM) </w:t>
      </w:r>
      <w:r w:rsidRPr="000275CD">
        <w:rPr>
          <w:rFonts w:eastAsiaTheme="minorHAnsi" w:cstheme="minorBidi"/>
          <w:noProof/>
          <w:color w:val="000000" w:themeColor="text1"/>
          <w:szCs w:val="22"/>
          <w:lang w:eastAsia="en-US"/>
        </w:rPr>
        <w:t>maintain</w:t>
      </w:r>
      <w:r w:rsidR="00E727CB">
        <w:rPr>
          <w:rFonts w:eastAsiaTheme="minorHAnsi" w:cstheme="minorBidi"/>
          <w:noProof/>
          <w:color w:val="000000" w:themeColor="text1"/>
          <w:szCs w:val="22"/>
          <w:lang w:eastAsia="en-US"/>
        </w:rPr>
        <w:t>ed</w:t>
      </w:r>
      <w:r w:rsidRPr="000275CD">
        <w:rPr>
          <w:rFonts w:eastAsiaTheme="minorHAnsi" w:cstheme="minorBidi"/>
          <w:noProof/>
          <w:color w:val="000000" w:themeColor="text1"/>
          <w:szCs w:val="22"/>
          <w:lang w:eastAsia="en-US"/>
        </w:rPr>
        <w:t xml:space="preserve"> its previous assessment of the independence and effectiveness of the Media Authority as high risk</w:t>
      </w:r>
      <w:r w:rsidR="00122118">
        <w:rPr>
          <w:rFonts w:eastAsiaTheme="minorHAnsi" w:cstheme="minorBidi"/>
          <w:noProof/>
          <w:color w:val="000000" w:themeColor="text1"/>
          <w:szCs w:val="22"/>
          <w:lang w:eastAsia="en-US"/>
        </w:rPr>
        <w:t>.</w:t>
      </w:r>
      <w:r w:rsidR="004D61BB" w:rsidRPr="000275CD">
        <w:rPr>
          <w:rFonts w:eastAsiaTheme="minorHAnsi" w:cstheme="minorBidi"/>
          <w:noProof/>
          <w:color w:val="000000" w:themeColor="text1"/>
          <w:szCs w:val="22"/>
          <w:vertAlign w:val="superscript"/>
          <w:lang w:eastAsia="en-US"/>
        </w:rPr>
        <w:footnoteReference w:id="117"/>
      </w:r>
      <w:r w:rsidR="004D61BB" w:rsidRPr="004D61BB">
        <w:rPr>
          <w:rFonts w:eastAsiaTheme="minorHAnsi" w:cstheme="minorBidi"/>
          <w:noProof/>
          <w:color w:val="000000" w:themeColor="text1"/>
          <w:szCs w:val="22"/>
          <w:lang w:eastAsia="en-US"/>
        </w:rPr>
        <w:t>.</w:t>
      </w:r>
    </w:p>
    <w:p w14:paraId="73054541" w14:textId="0F6439FB" w:rsidR="00E51455" w:rsidRPr="000275CD" w:rsidRDefault="00E51455" w:rsidP="00E51455">
      <w:pPr>
        <w:rPr>
          <w:rFonts w:eastAsiaTheme="minorHAnsi" w:cstheme="minorBidi"/>
          <w:noProof/>
          <w:szCs w:val="22"/>
          <w:lang w:eastAsia="en-GB"/>
        </w:rPr>
      </w:pPr>
      <w:bookmarkStart w:id="26" w:name="_Hlk224909607"/>
      <w:r w:rsidRPr="000275CD">
        <w:rPr>
          <w:rFonts w:eastAsiaTheme="minorHAnsi" w:cstheme="minorBidi"/>
          <w:b/>
          <w:noProof/>
          <w:szCs w:val="22"/>
          <w:lang w:eastAsia="en-GB"/>
        </w:rPr>
        <w:t xml:space="preserve">For the first time, a self-regulatory body for the media sector is provided for by law. </w:t>
      </w:r>
      <w:r w:rsidRPr="000275CD">
        <w:rPr>
          <w:rFonts w:eastAsiaTheme="minorHAnsi" w:cstheme="minorBidi"/>
          <w:bCs/>
          <w:noProof/>
          <w:szCs w:val="22"/>
          <w:lang w:eastAsia="en-GB"/>
        </w:rPr>
        <w:t>With a view to aligning with the EMFA,</w:t>
      </w:r>
      <w:r w:rsidRPr="000275CD">
        <w:rPr>
          <w:rFonts w:eastAsiaTheme="minorHAnsi" w:cstheme="minorBidi"/>
          <w:b/>
          <w:noProof/>
          <w:szCs w:val="22"/>
          <w:lang w:eastAsia="en-GB"/>
        </w:rPr>
        <w:t xml:space="preserve"> </w:t>
      </w:r>
      <w:r w:rsidRPr="000275CD">
        <w:rPr>
          <w:rFonts w:eastAsiaTheme="minorHAnsi" w:cstheme="minorBidi"/>
          <w:noProof/>
          <w:szCs w:val="22"/>
          <w:lang w:eastAsia="en-GB"/>
        </w:rPr>
        <w:t xml:space="preserve">a new law provides for the establishment of </w:t>
      </w:r>
      <w:r w:rsidR="00994B15">
        <w:rPr>
          <w:rFonts w:eastAsiaTheme="minorHAnsi" w:cstheme="minorBidi"/>
          <w:noProof/>
          <w:szCs w:val="22"/>
          <w:lang w:eastAsia="en-GB"/>
        </w:rPr>
        <w:t>t</w:t>
      </w:r>
      <w:r w:rsidRPr="000275CD">
        <w:rPr>
          <w:rFonts w:eastAsiaTheme="minorHAnsi" w:cstheme="minorBidi"/>
          <w:noProof/>
          <w:szCs w:val="22"/>
          <w:lang w:eastAsia="en-GB"/>
        </w:rPr>
        <w:t>he Hellenic Media Council</w:t>
      </w:r>
      <w:r w:rsidR="00994B15">
        <w:rPr>
          <w:rFonts w:eastAsiaTheme="minorHAnsi" w:cstheme="minorBidi"/>
          <w:noProof/>
          <w:szCs w:val="22"/>
          <w:lang w:eastAsia="en-GB"/>
        </w:rPr>
        <w:t>,</w:t>
      </w:r>
      <w:r w:rsidR="00FF25C5" w:rsidRPr="00FF25C5">
        <w:rPr>
          <w:rFonts w:eastAsiaTheme="minorHAnsi" w:cstheme="minorBidi"/>
          <w:noProof/>
          <w:szCs w:val="22"/>
          <w:lang w:eastAsia="en-GB"/>
        </w:rPr>
        <w:t xml:space="preserve"> </w:t>
      </w:r>
      <w:r w:rsidR="00FF25C5" w:rsidRPr="000275CD">
        <w:rPr>
          <w:rFonts w:eastAsiaTheme="minorHAnsi" w:cstheme="minorBidi"/>
          <w:noProof/>
          <w:szCs w:val="22"/>
          <w:lang w:eastAsia="en-GB"/>
        </w:rPr>
        <w:t>an independent self-regulatory body</w:t>
      </w:r>
      <w:r w:rsidR="001D7D70">
        <w:rPr>
          <w:rFonts w:eastAsiaTheme="minorHAnsi" w:cstheme="minorBidi"/>
          <w:noProof/>
          <w:szCs w:val="22"/>
          <w:lang w:eastAsia="en-GB"/>
        </w:rPr>
        <w:t xml:space="preserve">, </w:t>
      </w:r>
      <w:r w:rsidRPr="000275CD">
        <w:rPr>
          <w:rFonts w:eastAsiaTheme="minorHAnsi" w:cstheme="minorBidi"/>
          <w:noProof/>
          <w:szCs w:val="22"/>
          <w:lang w:eastAsia="en-GB"/>
        </w:rPr>
        <w:t xml:space="preserve">with the participation of journalists, media owners, academics </w:t>
      </w:r>
      <w:r w:rsidRPr="005C2CC2">
        <w:rPr>
          <w:rFonts w:eastAsiaTheme="minorHAnsi" w:cstheme="minorBidi"/>
          <w:noProof/>
          <w:szCs w:val="22"/>
          <w:lang w:eastAsia="en-GB"/>
        </w:rPr>
        <w:t>and civil society</w:t>
      </w:r>
      <w:r w:rsidR="004A303F" w:rsidRPr="005C2CC2">
        <w:rPr>
          <w:rFonts w:eastAsiaTheme="minorHAnsi" w:cstheme="minorBidi"/>
          <w:noProof/>
          <w:szCs w:val="22"/>
          <w:lang w:eastAsia="en-GB"/>
        </w:rPr>
        <w:t>, and the S</w:t>
      </w:r>
      <w:r w:rsidR="00036D8A" w:rsidRPr="005C2CC2">
        <w:rPr>
          <w:rFonts w:eastAsiaTheme="minorHAnsi" w:cstheme="minorBidi"/>
          <w:bCs/>
          <w:noProof/>
          <w:szCs w:val="22"/>
          <w:lang w:val="en-US" w:eastAsia="en-GB"/>
        </w:rPr>
        <w:t>tate providing legal recognition and institutional space</w:t>
      </w:r>
      <w:r w:rsidR="000537AC" w:rsidRPr="005C2CC2">
        <w:rPr>
          <w:rFonts w:eastAsiaTheme="minorHAnsi" w:cstheme="minorBidi"/>
          <w:bCs/>
          <w:noProof/>
          <w:szCs w:val="22"/>
          <w:lang w:val="en-US" w:eastAsia="en-GB"/>
        </w:rPr>
        <w:t xml:space="preserve"> in line with the principle of self-regulation</w:t>
      </w:r>
      <w:r w:rsidR="0026111C" w:rsidRPr="005C2CC2">
        <w:rPr>
          <w:rStyle w:val="FootnoteReference"/>
          <w:rFonts w:eastAsiaTheme="minorHAnsi" w:cstheme="minorBidi"/>
          <w:noProof/>
          <w:szCs w:val="22"/>
          <w:lang w:eastAsia="en-GB"/>
        </w:rPr>
        <w:footnoteReference w:id="118"/>
      </w:r>
      <w:r w:rsidRPr="005C2CC2">
        <w:rPr>
          <w:rFonts w:eastAsiaTheme="minorHAnsi" w:cstheme="minorBidi"/>
          <w:noProof/>
          <w:szCs w:val="22"/>
          <w:lang w:eastAsia="en-US"/>
        </w:rPr>
        <w:t>.</w:t>
      </w:r>
      <w:r w:rsidRPr="005C2CC2">
        <w:rPr>
          <w:rFonts w:eastAsiaTheme="minorHAnsi" w:cstheme="minorBidi"/>
          <w:noProof/>
          <w:szCs w:val="22"/>
          <w:lang w:eastAsia="en-GB"/>
        </w:rPr>
        <w:t xml:space="preserve"> Yearly financial support to this structure is also provided, to be determined by an upcoming Ministerial decision. The Council is intended to promote public dialogue on issues relating to media freedom and strengthen media pluralism and editorial independence. Stakeholders welcomed this development </w:t>
      </w:r>
      <w:r w:rsidR="00CB6D14" w:rsidRPr="005C2CC2">
        <w:rPr>
          <w:rFonts w:eastAsiaTheme="minorHAnsi" w:cstheme="minorBidi"/>
          <w:noProof/>
          <w:szCs w:val="22"/>
          <w:lang w:eastAsia="en-GB"/>
        </w:rPr>
        <w:t xml:space="preserve">and its potential impact </w:t>
      </w:r>
      <w:r w:rsidRPr="005C2CC2">
        <w:rPr>
          <w:rFonts w:eastAsiaTheme="minorHAnsi" w:cstheme="minorBidi"/>
          <w:noProof/>
          <w:szCs w:val="22"/>
          <w:lang w:eastAsia="en-GB"/>
        </w:rPr>
        <w:t xml:space="preserve">to help address issues of transparency, trustworthiness and accuracy in the media sector and providing a forum for exchange between media service providers and journalists’ unions, </w:t>
      </w:r>
      <w:r w:rsidR="00510058" w:rsidRPr="005C2CC2">
        <w:rPr>
          <w:rFonts w:eastAsiaTheme="minorHAnsi" w:cstheme="minorBidi"/>
          <w:noProof/>
          <w:szCs w:val="22"/>
          <w:lang w:eastAsia="en-GB"/>
        </w:rPr>
        <w:t>4</w:t>
      </w:r>
      <w:r w:rsidR="0026111C" w:rsidRPr="005C2CC2">
        <w:rPr>
          <w:rStyle w:val="FootnoteReference"/>
          <w:rFonts w:eastAsiaTheme="minorHAnsi" w:cstheme="minorBidi"/>
          <w:noProof/>
          <w:szCs w:val="22"/>
          <w:lang w:eastAsia="en-GB"/>
        </w:rPr>
        <w:footnoteReference w:id="119"/>
      </w:r>
      <w:r w:rsidRPr="005C2CC2">
        <w:rPr>
          <w:rFonts w:eastAsiaTheme="minorHAnsi" w:cstheme="minorBidi"/>
          <w:noProof/>
          <w:szCs w:val="22"/>
          <w:lang w:eastAsia="en-GB"/>
        </w:rPr>
        <w:t>.</w:t>
      </w:r>
      <w:r w:rsidRPr="000275CD">
        <w:rPr>
          <w:rFonts w:eastAsiaTheme="minorHAnsi" w:cstheme="minorBidi"/>
          <w:noProof/>
          <w:szCs w:val="22"/>
          <w:lang w:eastAsia="en-US"/>
        </w:rPr>
        <w:t xml:space="preserve"> Moreover, in 2025, financial support measures were launched by the Government, notably to local and regional media, and a long-term State aid plan is being </w:t>
      </w:r>
      <w:r w:rsidR="00927493">
        <w:rPr>
          <w:rFonts w:eastAsiaTheme="minorHAnsi" w:cstheme="minorBidi"/>
          <w:noProof/>
          <w:szCs w:val="22"/>
          <w:lang w:eastAsia="en-US"/>
        </w:rPr>
        <w:t>implemented</w:t>
      </w:r>
      <w:r w:rsidR="00927493" w:rsidRPr="000275CD">
        <w:rPr>
          <w:rFonts w:eastAsiaTheme="minorHAnsi" w:cstheme="minorBidi"/>
          <w:noProof/>
          <w:szCs w:val="22"/>
          <w:lang w:eastAsia="en-US"/>
        </w:rPr>
        <w:t xml:space="preserve"> </w:t>
      </w:r>
      <w:r w:rsidRPr="000275CD">
        <w:rPr>
          <w:rFonts w:eastAsiaTheme="minorHAnsi" w:cstheme="minorBidi"/>
          <w:noProof/>
          <w:szCs w:val="22"/>
          <w:lang w:eastAsia="en-US"/>
        </w:rPr>
        <w:t>to support the sector’s digital transition</w:t>
      </w:r>
      <w:r w:rsidR="0026111C">
        <w:rPr>
          <w:rStyle w:val="FootnoteReference"/>
          <w:rFonts w:eastAsiaTheme="minorHAnsi" w:cstheme="minorBidi"/>
          <w:noProof/>
          <w:szCs w:val="22"/>
          <w:lang w:eastAsia="en-US"/>
        </w:rPr>
        <w:footnoteReference w:id="120"/>
      </w:r>
      <w:r w:rsidRPr="000275CD">
        <w:rPr>
          <w:rFonts w:eastAsiaTheme="minorHAnsi" w:cstheme="minorBidi"/>
          <w:noProof/>
          <w:szCs w:val="22"/>
          <w:lang w:eastAsia="en-US"/>
        </w:rPr>
        <w:t>.</w:t>
      </w:r>
    </w:p>
    <w:p w14:paraId="2C3EBC9C" w14:textId="5E4CDF2A" w:rsidR="00E51455" w:rsidRPr="000275CD" w:rsidRDefault="00E51455" w:rsidP="00E51455">
      <w:pPr>
        <w:rPr>
          <w:rFonts w:eastAsiaTheme="minorHAnsi" w:cstheme="minorBidi"/>
          <w:noProof/>
          <w:szCs w:val="22"/>
          <w:lang w:eastAsia="en-GB"/>
        </w:rPr>
      </w:pPr>
      <w:r w:rsidRPr="000275CD">
        <w:rPr>
          <w:rFonts w:eastAsiaTheme="minorHAnsi" w:cstheme="minorBidi"/>
          <w:b/>
          <w:noProof/>
          <w:szCs w:val="22"/>
          <w:lang w:eastAsia="en-GB"/>
        </w:rPr>
        <w:t>A new law modernises and strengthens public service media</w:t>
      </w:r>
      <w:r w:rsidR="00673D9C">
        <w:rPr>
          <w:rFonts w:eastAsiaTheme="minorHAnsi" w:cstheme="minorBidi"/>
          <w:b/>
          <w:noProof/>
          <w:szCs w:val="22"/>
          <w:lang w:eastAsia="en-GB"/>
        </w:rPr>
        <w:t>’s governance</w:t>
      </w:r>
      <w:r w:rsidRPr="000275CD">
        <w:rPr>
          <w:rFonts w:eastAsiaTheme="minorHAnsi" w:cstheme="minorBidi"/>
          <w:b/>
          <w:noProof/>
          <w:szCs w:val="22"/>
          <w:lang w:eastAsia="en-GB"/>
        </w:rPr>
        <w:t>, while concerns regarding political independence remain.</w:t>
      </w:r>
      <w:r w:rsidRPr="000275CD">
        <w:rPr>
          <w:rFonts w:eastAsiaTheme="minorHAnsi" w:cstheme="minorBidi"/>
          <w:noProof/>
          <w:szCs w:val="22"/>
          <w:lang w:eastAsia="en-GB"/>
        </w:rPr>
        <w:t xml:space="preserve"> </w:t>
      </w:r>
      <w:bookmarkEnd w:id="26"/>
      <w:r w:rsidRPr="000275CD">
        <w:rPr>
          <w:rFonts w:eastAsiaTheme="minorHAnsi" w:cstheme="minorBidi"/>
          <w:noProof/>
          <w:szCs w:val="22"/>
          <w:lang w:eastAsia="en-GB"/>
        </w:rPr>
        <w:t xml:space="preserve">A newly adopted law includes organisational changes in the administration and performance incentives for staff of </w:t>
      </w:r>
      <w:r w:rsidRPr="000275CD">
        <w:rPr>
          <w:rFonts w:eastAsiaTheme="minorHAnsi" w:cstheme="minorBidi"/>
          <w:noProof/>
          <w:color w:val="000000" w:themeColor="text1"/>
          <w:szCs w:val="22"/>
          <w:lang w:eastAsia="en-US"/>
        </w:rPr>
        <w:t>the Hellenic Radio and Television Corporation (ERT),</w:t>
      </w:r>
      <w:r w:rsidRPr="000275CD">
        <w:rPr>
          <w:rFonts w:eastAsiaTheme="minorHAnsi" w:cstheme="minorBidi"/>
          <w:bCs/>
          <w:noProof/>
          <w:szCs w:val="22"/>
          <w:lang w:eastAsia="en-GB"/>
        </w:rPr>
        <w:t xml:space="preserve"> with a view to aligning with the EMFA</w:t>
      </w:r>
      <w:r w:rsidRPr="000275CD">
        <w:rPr>
          <w:rFonts w:eastAsiaTheme="minorHAnsi" w:cstheme="minorBidi"/>
          <w:noProof/>
          <w:color w:val="000000" w:themeColor="text1"/>
          <w:szCs w:val="22"/>
          <w:lang w:eastAsia="en-US"/>
        </w:rPr>
        <w:t>. It also establishes a three months’ deadline for the submission of ERT’s annual report on the use of financial resources</w:t>
      </w:r>
      <w:r w:rsidR="0026111C">
        <w:rPr>
          <w:rStyle w:val="FootnoteReference"/>
          <w:rFonts w:eastAsiaTheme="minorHAnsi" w:cstheme="minorBidi"/>
          <w:noProof/>
          <w:color w:val="000000" w:themeColor="text1"/>
          <w:szCs w:val="22"/>
          <w:lang w:eastAsia="en-US"/>
        </w:rPr>
        <w:footnoteReference w:id="121"/>
      </w:r>
      <w:r w:rsidRPr="000275CD">
        <w:rPr>
          <w:rFonts w:eastAsiaTheme="minorHAnsi" w:cstheme="minorBidi"/>
          <w:noProof/>
          <w:color w:val="000000" w:themeColor="text1"/>
          <w:szCs w:val="22"/>
          <w:lang w:eastAsia="en-US"/>
        </w:rPr>
        <w:t>. Stakeholders nevertheless continue to report concerns relating to the public service media’s independence, notably in view of the decreasing political or investigative content of public interest and of incidents of staff dismissal or programming discontinuation, exacerbated by precarious working conditions</w:t>
      </w:r>
      <w:r w:rsidR="0026111C">
        <w:rPr>
          <w:rStyle w:val="FootnoteReference"/>
          <w:rFonts w:eastAsiaTheme="minorHAnsi" w:cstheme="minorBidi"/>
          <w:noProof/>
          <w:color w:val="000000" w:themeColor="text1"/>
          <w:szCs w:val="22"/>
          <w:lang w:eastAsia="en-US"/>
        </w:rPr>
        <w:footnoteReference w:id="122"/>
      </w:r>
      <w:r w:rsidRPr="000275CD">
        <w:rPr>
          <w:rFonts w:eastAsiaTheme="minorHAnsi" w:cstheme="minorBidi"/>
          <w:noProof/>
          <w:color w:val="000000" w:themeColor="text1"/>
          <w:szCs w:val="22"/>
          <w:lang w:eastAsia="en-US"/>
        </w:rPr>
        <w:t>.</w:t>
      </w:r>
      <w:r w:rsidRPr="000275CD">
        <w:rPr>
          <w:rFonts w:eastAsiaTheme="minorHAnsi" w:cstheme="minorBidi"/>
          <w:noProof/>
          <w:szCs w:val="22"/>
          <w:lang w:eastAsia="en-US"/>
        </w:rPr>
        <w:t xml:space="preserve"> </w:t>
      </w:r>
      <w:r w:rsidRPr="000275CD">
        <w:rPr>
          <w:rFonts w:eastAsiaTheme="minorHAnsi" w:cstheme="minorBidi"/>
          <w:noProof/>
          <w:color w:val="000000" w:themeColor="text1"/>
          <w:szCs w:val="22"/>
          <w:lang w:eastAsia="en-US"/>
        </w:rPr>
        <w:t xml:space="preserve">Concerns persist also with regard to leeway for appointments based on political considerations and the fact that ERT continues to be subject to </w:t>
      </w:r>
      <w:r w:rsidR="000A09ED">
        <w:rPr>
          <w:rFonts w:eastAsiaTheme="minorHAnsi" w:cstheme="minorBidi"/>
          <w:noProof/>
          <w:color w:val="000000" w:themeColor="text1"/>
          <w:szCs w:val="22"/>
          <w:lang w:eastAsia="en-US"/>
        </w:rPr>
        <w:t xml:space="preserve">the </w:t>
      </w:r>
      <w:r w:rsidRPr="000275CD">
        <w:rPr>
          <w:rFonts w:eastAsiaTheme="minorHAnsi" w:cstheme="minorBidi"/>
          <w:noProof/>
          <w:color w:val="000000" w:themeColor="text1"/>
          <w:szCs w:val="22"/>
          <w:lang w:eastAsia="en-US"/>
        </w:rPr>
        <w:t>oversight by the General Secretariat for Communication and Media, placed under the responsibility of the</w:t>
      </w:r>
      <w:r w:rsidR="00D05C7C">
        <w:rPr>
          <w:rFonts w:eastAsiaTheme="minorHAnsi" w:cstheme="minorBidi"/>
          <w:noProof/>
          <w:color w:val="000000" w:themeColor="text1"/>
          <w:szCs w:val="22"/>
          <w:lang w:eastAsia="en-US"/>
        </w:rPr>
        <w:t xml:space="preserve"> </w:t>
      </w:r>
      <w:r w:rsidR="00D05C7C" w:rsidRPr="00D05C7C">
        <w:rPr>
          <w:rFonts w:eastAsiaTheme="minorHAnsi" w:cstheme="minorBidi"/>
          <w:noProof/>
          <w:color w:val="000000" w:themeColor="text1"/>
          <w:szCs w:val="22"/>
          <w:lang w:eastAsia="en-US"/>
        </w:rPr>
        <w:t>Deputy Minister to the Prime Minister and Government Spokesperson</w:t>
      </w:r>
      <w:r w:rsidR="0026111C">
        <w:rPr>
          <w:rStyle w:val="FootnoteReference"/>
          <w:rFonts w:eastAsiaTheme="minorHAnsi" w:cstheme="minorBidi"/>
          <w:noProof/>
          <w:color w:val="000000" w:themeColor="text1"/>
          <w:szCs w:val="22"/>
          <w:lang w:eastAsia="en-US"/>
        </w:rPr>
        <w:footnoteReference w:id="123"/>
      </w:r>
      <w:r w:rsidR="00285694">
        <w:rPr>
          <w:rFonts w:eastAsiaTheme="minorHAnsi" w:cstheme="minorBidi"/>
          <w:noProof/>
          <w:color w:val="000000" w:themeColor="text1"/>
          <w:szCs w:val="22"/>
          <w:lang w:eastAsia="en-US"/>
        </w:rPr>
        <w:t>. A</w:t>
      </w:r>
      <w:r w:rsidR="0036693B">
        <w:rPr>
          <w:rFonts w:eastAsiaTheme="minorHAnsi" w:cstheme="minorBidi"/>
          <w:noProof/>
          <w:color w:val="000000" w:themeColor="text1"/>
          <w:szCs w:val="22"/>
          <w:lang w:eastAsia="en-US"/>
        </w:rPr>
        <w:t xml:space="preserve">ccording to the Government </w:t>
      </w:r>
      <w:r w:rsidR="000C0D97">
        <w:rPr>
          <w:rFonts w:eastAsiaTheme="minorHAnsi" w:cstheme="minorBidi"/>
          <w:noProof/>
          <w:color w:val="000000" w:themeColor="text1"/>
          <w:szCs w:val="22"/>
          <w:lang w:eastAsia="en-US"/>
        </w:rPr>
        <w:t>the</w:t>
      </w:r>
      <w:r w:rsidR="0036693B">
        <w:rPr>
          <w:rFonts w:eastAsiaTheme="minorHAnsi" w:cstheme="minorBidi"/>
          <w:noProof/>
          <w:color w:val="000000" w:themeColor="text1"/>
          <w:szCs w:val="22"/>
          <w:lang w:eastAsia="en-US"/>
        </w:rPr>
        <w:t xml:space="preserve"> oversight </w:t>
      </w:r>
      <w:r w:rsidR="00192439">
        <w:rPr>
          <w:rFonts w:eastAsiaTheme="minorHAnsi" w:cstheme="minorBidi"/>
          <w:noProof/>
          <w:color w:val="000000" w:themeColor="text1"/>
          <w:szCs w:val="22"/>
          <w:lang w:eastAsia="en-US"/>
        </w:rPr>
        <w:t xml:space="preserve">is </w:t>
      </w:r>
      <w:r w:rsidR="000C0D97">
        <w:rPr>
          <w:rFonts w:eastAsiaTheme="minorHAnsi" w:cstheme="minorBidi"/>
          <w:noProof/>
          <w:color w:val="000000" w:themeColor="text1"/>
          <w:szCs w:val="22"/>
          <w:lang w:eastAsia="en-US"/>
        </w:rPr>
        <w:t>limited to</w:t>
      </w:r>
      <w:r w:rsidR="0036693B">
        <w:rPr>
          <w:rFonts w:eastAsiaTheme="minorHAnsi" w:cstheme="minorBidi"/>
          <w:noProof/>
          <w:color w:val="000000" w:themeColor="text1"/>
          <w:szCs w:val="22"/>
          <w:lang w:eastAsia="en-US"/>
        </w:rPr>
        <w:t xml:space="preserve"> institutional and administrative </w:t>
      </w:r>
      <w:r w:rsidR="00F949E3">
        <w:rPr>
          <w:rFonts w:eastAsiaTheme="minorHAnsi" w:cstheme="minorBidi"/>
          <w:noProof/>
          <w:color w:val="000000" w:themeColor="text1"/>
          <w:szCs w:val="22"/>
          <w:lang w:eastAsia="en-US"/>
        </w:rPr>
        <w:t>matters</w:t>
      </w:r>
      <w:r w:rsidR="00AC53BC">
        <w:rPr>
          <w:rStyle w:val="FootnoteReference"/>
          <w:rFonts w:eastAsiaTheme="minorHAnsi" w:cstheme="minorBidi"/>
          <w:noProof/>
          <w:color w:val="000000" w:themeColor="text1"/>
          <w:szCs w:val="22"/>
          <w:lang w:eastAsia="en-US"/>
        </w:rPr>
        <w:footnoteReference w:id="124"/>
      </w:r>
      <w:r w:rsidRPr="000275CD">
        <w:rPr>
          <w:rFonts w:eastAsiaTheme="minorHAnsi" w:cstheme="minorBidi"/>
          <w:noProof/>
          <w:color w:val="000000" w:themeColor="text1"/>
          <w:szCs w:val="22"/>
          <w:lang w:eastAsia="en-US"/>
        </w:rPr>
        <w:t xml:space="preserve">. </w:t>
      </w:r>
      <w:r w:rsidRPr="000275CD">
        <w:rPr>
          <w:rFonts w:eastAsiaTheme="minorHAnsi" w:cstheme="minorBidi"/>
          <w:noProof/>
          <w:szCs w:val="22"/>
          <w:lang w:eastAsia="en-US"/>
        </w:rPr>
        <w:t>The MPM</w:t>
      </w:r>
      <w:r w:rsidR="00BC4F8C">
        <w:rPr>
          <w:rFonts w:eastAsiaTheme="minorHAnsi" w:cstheme="minorBidi"/>
          <w:noProof/>
          <w:szCs w:val="22"/>
          <w:lang w:eastAsia="en-US"/>
        </w:rPr>
        <w:t xml:space="preserve"> has</w:t>
      </w:r>
      <w:r w:rsidRPr="000275CD">
        <w:rPr>
          <w:rFonts w:eastAsiaTheme="minorHAnsi" w:cstheme="minorBidi"/>
          <w:noProof/>
          <w:szCs w:val="22"/>
          <w:lang w:eastAsia="en-US"/>
        </w:rPr>
        <w:t xml:space="preserve"> </w:t>
      </w:r>
      <w:r w:rsidRPr="000275CD">
        <w:rPr>
          <w:rFonts w:eastAsiaTheme="minorHAnsi" w:cstheme="minorBidi"/>
          <w:iCs/>
          <w:noProof/>
          <w:color w:val="000000" w:themeColor="text1"/>
          <w:szCs w:val="22"/>
          <w:lang w:eastAsia="en-US"/>
        </w:rPr>
        <w:t>maintain</w:t>
      </w:r>
      <w:r w:rsidR="00BC4F8C">
        <w:rPr>
          <w:rFonts w:eastAsiaTheme="minorHAnsi" w:cstheme="minorBidi"/>
          <w:iCs/>
          <w:noProof/>
          <w:color w:val="000000" w:themeColor="text1"/>
          <w:szCs w:val="22"/>
          <w:lang w:eastAsia="en-US"/>
        </w:rPr>
        <w:t>ed</w:t>
      </w:r>
      <w:r w:rsidRPr="000275CD">
        <w:rPr>
          <w:rFonts w:eastAsiaTheme="minorHAnsi" w:cstheme="minorBidi"/>
          <w:iCs/>
          <w:noProof/>
          <w:color w:val="000000" w:themeColor="text1"/>
          <w:szCs w:val="22"/>
          <w:lang w:eastAsia="en-US"/>
        </w:rPr>
        <w:t xml:space="preserve"> its previous risk score of high risk with regard to the independence of public service media</w:t>
      </w:r>
      <w:r w:rsidR="0026111C">
        <w:rPr>
          <w:rStyle w:val="FootnoteReference"/>
          <w:rFonts w:eastAsiaTheme="minorHAnsi" w:cstheme="minorBidi"/>
          <w:iCs/>
          <w:noProof/>
          <w:color w:val="000000" w:themeColor="text1"/>
          <w:szCs w:val="22"/>
          <w:lang w:eastAsia="en-US"/>
        </w:rPr>
        <w:footnoteReference w:id="125"/>
      </w:r>
      <w:r w:rsidRPr="000275CD">
        <w:rPr>
          <w:rFonts w:eastAsiaTheme="minorHAnsi" w:cstheme="minorBidi"/>
          <w:iCs/>
          <w:noProof/>
          <w:color w:val="000000" w:themeColor="text1"/>
          <w:szCs w:val="22"/>
          <w:lang w:eastAsia="en-US"/>
        </w:rPr>
        <w:t>.</w:t>
      </w:r>
    </w:p>
    <w:p w14:paraId="7DD67905" w14:textId="6CFA9431" w:rsidR="00E51455" w:rsidRPr="000275CD" w:rsidRDefault="00E51455" w:rsidP="00E51455">
      <w:pPr>
        <w:rPr>
          <w:rFonts w:eastAsia="Calibri" w:cstheme="minorBidi"/>
          <w:noProof/>
          <w:color w:val="000000" w:themeColor="text1"/>
          <w:szCs w:val="22"/>
          <w:lang w:eastAsia="en-US"/>
        </w:rPr>
      </w:pPr>
      <w:r w:rsidRPr="000275CD">
        <w:rPr>
          <w:rFonts w:eastAsiaTheme="minorHAnsi" w:cstheme="minorBidi"/>
          <w:b/>
          <w:noProof/>
          <w:szCs w:val="22"/>
          <w:lang w:eastAsia="en-GB"/>
        </w:rPr>
        <w:t xml:space="preserve">Transparency of state advertising is further improved with the adoption of new legislation, and funding measures to support the </w:t>
      </w:r>
      <w:r w:rsidRPr="000275CD">
        <w:rPr>
          <w:rFonts w:eastAsiaTheme="minorHAnsi" w:cstheme="minorBidi"/>
          <w:b/>
          <w:bCs/>
          <w:noProof/>
          <w:szCs w:val="22"/>
          <w:lang w:eastAsia="en-GB"/>
        </w:rPr>
        <w:t>media sector</w:t>
      </w:r>
      <w:r w:rsidRPr="000275CD">
        <w:rPr>
          <w:rFonts w:eastAsiaTheme="minorHAnsi" w:cstheme="minorBidi"/>
          <w:b/>
          <w:noProof/>
          <w:szCs w:val="22"/>
          <w:lang w:eastAsia="en-GB"/>
        </w:rPr>
        <w:t xml:space="preserve"> are planned or have been adopted.</w:t>
      </w:r>
      <w:r w:rsidRPr="000275CD">
        <w:rPr>
          <w:rFonts w:eastAsiaTheme="minorHAnsi" w:cstheme="minorBidi"/>
          <w:noProof/>
          <w:szCs w:val="22"/>
          <w:lang w:eastAsia="en-GB"/>
        </w:rPr>
        <w:t xml:space="preserve"> </w:t>
      </w:r>
      <w:r w:rsidRPr="000275CD">
        <w:rPr>
          <w:rFonts w:eastAsiaTheme="minorHAnsi" w:cstheme="minorBidi"/>
          <w:bCs/>
          <w:noProof/>
          <w:szCs w:val="22"/>
          <w:lang w:eastAsia="en-GB"/>
        </w:rPr>
        <w:t xml:space="preserve">With a view to aligning with the EMFA and </w:t>
      </w:r>
      <w:r w:rsidRPr="000275CD">
        <w:rPr>
          <w:rFonts w:eastAsiaTheme="minorHAnsi" w:cstheme="minorBidi"/>
          <w:noProof/>
          <w:color w:val="000000" w:themeColor="text1"/>
          <w:szCs w:val="22"/>
          <w:lang w:eastAsia="en-US"/>
        </w:rPr>
        <w:t>in addition to the existing legal framework</w:t>
      </w:r>
      <w:r w:rsidR="0026111C">
        <w:rPr>
          <w:rStyle w:val="FootnoteReference"/>
          <w:rFonts w:eastAsiaTheme="minorHAnsi" w:cstheme="minorBidi"/>
          <w:noProof/>
          <w:color w:val="000000" w:themeColor="text1"/>
          <w:szCs w:val="22"/>
          <w:lang w:eastAsia="en-US"/>
        </w:rPr>
        <w:footnoteReference w:id="126"/>
      </w:r>
      <w:r w:rsidRPr="000275CD">
        <w:rPr>
          <w:rFonts w:eastAsiaTheme="minorHAnsi" w:cstheme="minorBidi"/>
          <w:noProof/>
          <w:color w:val="000000" w:themeColor="text1"/>
          <w:szCs w:val="22"/>
          <w:lang w:eastAsia="en-US"/>
        </w:rPr>
        <w:t xml:space="preserve"> which only allows media appearing in the </w:t>
      </w:r>
      <w:r w:rsidRPr="000275CD">
        <w:rPr>
          <w:rFonts w:eastAsiaTheme="minorHAnsi" w:cstheme="minorBidi"/>
          <w:noProof/>
          <w:szCs w:val="22"/>
          <w:lang w:eastAsia="en-GB"/>
        </w:rPr>
        <w:t>Registry for Print Media (MET) and the Registry for Electronic Press (MHT) to be</w:t>
      </w:r>
      <w:r w:rsidRPr="000275CD">
        <w:rPr>
          <w:rFonts w:eastAsiaTheme="minorHAnsi" w:cstheme="minorBidi"/>
          <w:noProof/>
          <w:color w:val="000000" w:themeColor="text1"/>
          <w:szCs w:val="22"/>
          <w:lang w:eastAsia="en-US"/>
        </w:rPr>
        <w:t xml:space="preserve"> eligible for state advertising, </w:t>
      </w:r>
      <w:r w:rsidRPr="000275CD">
        <w:rPr>
          <w:rFonts w:eastAsiaTheme="minorHAnsi" w:cstheme="minorBidi"/>
          <w:noProof/>
          <w:color w:val="000000" w:themeColor="text1"/>
          <w:szCs w:val="22"/>
          <w:lang w:eastAsia="en-GB"/>
        </w:rPr>
        <w:t xml:space="preserve">a new law now requires all public sector bodies to disclose the expenditure allocated for state advertising, as well as the publication of an annual report on the allocation of state advertising expenditure by </w:t>
      </w:r>
      <w:r w:rsidRPr="000275CD">
        <w:rPr>
          <w:rFonts w:eastAsiaTheme="minorHAnsi" w:cstheme="minorBidi"/>
          <w:noProof/>
          <w:szCs w:val="22"/>
          <w:lang w:eastAsia="en-GB"/>
        </w:rPr>
        <w:t>the national media regulator</w:t>
      </w:r>
      <w:r w:rsidR="0026111C">
        <w:rPr>
          <w:rStyle w:val="FootnoteReference"/>
          <w:rFonts w:eastAsiaTheme="minorHAnsi" w:cstheme="minorBidi"/>
          <w:noProof/>
          <w:szCs w:val="22"/>
          <w:lang w:eastAsia="en-GB"/>
        </w:rPr>
        <w:footnoteReference w:id="127"/>
      </w:r>
      <w:r w:rsidRPr="000275CD">
        <w:rPr>
          <w:rFonts w:eastAsiaTheme="minorHAnsi" w:cstheme="minorBidi"/>
          <w:noProof/>
          <w:szCs w:val="22"/>
          <w:lang w:eastAsia="en-GB"/>
        </w:rPr>
        <w:t>.</w:t>
      </w:r>
      <w:r w:rsidRPr="000275CD">
        <w:rPr>
          <w:rFonts w:eastAsiaTheme="minorHAnsi" w:cstheme="minorBidi"/>
          <w:noProof/>
          <w:szCs w:val="22"/>
          <w:lang w:eastAsia="en-US"/>
        </w:rPr>
        <w:t xml:space="preserve"> </w:t>
      </w:r>
      <w:r w:rsidR="00F3342E">
        <w:rPr>
          <w:rFonts w:eastAsiaTheme="minorHAnsi" w:cstheme="minorBidi"/>
          <w:noProof/>
          <w:szCs w:val="22"/>
          <w:lang w:eastAsia="en-GB"/>
        </w:rPr>
        <w:t>T</w:t>
      </w:r>
      <w:r w:rsidRPr="000275CD">
        <w:rPr>
          <w:rFonts w:eastAsiaTheme="minorHAnsi" w:cstheme="minorBidi"/>
          <w:noProof/>
          <w:szCs w:val="22"/>
          <w:lang w:eastAsia="en-GB"/>
        </w:rPr>
        <w:t xml:space="preserve">he public “e-Pasithea” system </w:t>
      </w:r>
      <w:r w:rsidR="00D97775" w:rsidRPr="00D97775">
        <w:rPr>
          <w:rFonts w:eastAsiaTheme="minorHAnsi" w:cstheme="minorBidi"/>
          <w:noProof/>
          <w:szCs w:val="22"/>
          <w:lang w:eastAsia="en-GB"/>
        </w:rPr>
        <w:t>provides full, real-time public access to every item of state advertising expenditure</w:t>
      </w:r>
      <w:r w:rsidR="00D97775">
        <w:rPr>
          <w:rFonts w:eastAsiaTheme="minorHAnsi" w:cstheme="minorBidi"/>
          <w:noProof/>
          <w:szCs w:val="22"/>
          <w:lang w:eastAsia="en-GB"/>
        </w:rPr>
        <w:t>, a</w:t>
      </w:r>
      <w:r w:rsidR="001167E1">
        <w:rPr>
          <w:rFonts w:eastAsiaTheme="minorHAnsi" w:cstheme="minorBidi"/>
          <w:noProof/>
          <w:szCs w:val="22"/>
          <w:lang w:eastAsia="en-GB"/>
        </w:rPr>
        <w:t xml:space="preserve">nd publishing obligations are extended to </w:t>
      </w:r>
      <w:r w:rsidR="00C01238">
        <w:rPr>
          <w:rFonts w:eastAsiaTheme="minorHAnsi" w:cstheme="minorBidi"/>
          <w:noProof/>
          <w:szCs w:val="22"/>
          <w:lang w:eastAsia="en-GB"/>
        </w:rPr>
        <w:t>advertising planning for public bodies</w:t>
      </w:r>
      <w:r w:rsidR="007F7E36">
        <w:rPr>
          <w:rFonts w:eastAsiaTheme="minorHAnsi" w:cstheme="minorBidi"/>
          <w:noProof/>
          <w:szCs w:val="22"/>
          <w:lang w:eastAsia="en-GB"/>
        </w:rPr>
        <w:t xml:space="preserve"> as well as </w:t>
      </w:r>
      <w:r w:rsidR="00AA52FC">
        <w:rPr>
          <w:rFonts w:eastAsiaTheme="minorHAnsi" w:cstheme="minorBidi"/>
          <w:noProof/>
          <w:szCs w:val="22"/>
          <w:lang w:eastAsia="en-GB"/>
        </w:rPr>
        <w:t>to all amounts received in state advertising by media outlets</w:t>
      </w:r>
      <w:r w:rsidR="007F10F5">
        <w:rPr>
          <w:rStyle w:val="FootnoteReference"/>
          <w:rFonts w:eastAsiaTheme="minorHAnsi" w:cstheme="minorBidi"/>
          <w:noProof/>
          <w:szCs w:val="22"/>
          <w:lang w:eastAsia="en-GB"/>
        </w:rPr>
        <w:footnoteReference w:id="128"/>
      </w:r>
      <w:r w:rsidR="00C01238">
        <w:rPr>
          <w:rFonts w:eastAsiaTheme="minorHAnsi" w:cstheme="minorBidi"/>
          <w:noProof/>
          <w:szCs w:val="22"/>
          <w:lang w:eastAsia="en-GB"/>
        </w:rPr>
        <w:t xml:space="preserve">. </w:t>
      </w:r>
      <w:r w:rsidRPr="000275CD">
        <w:rPr>
          <w:rFonts w:eastAsiaTheme="minorHAnsi" w:cstheme="minorBidi"/>
          <w:noProof/>
          <w:szCs w:val="22"/>
          <w:lang w:eastAsia="en-GB"/>
        </w:rPr>
        <w:t xml:space="preserve">a. Furthermore, </w:t>
      </w:r>
      <w:r w:rsidR="00B16254">
        <w:rPr>
          <w:rFonts w:eastAsiaTheme="minorHAnsi" w:cstheme="minorBidi"/>
          <w:noProof/>
          <w:szCs w:val="22"/>
          <w:lang w:eastAsia="en-GB"/>
        </w:rPr>
        <w:t>the adopted new</w:t>
      </w:r>
      <w:r w:rsidRPr="000275CD">
        <w:rPr>
          <w:rFonts w:eastAsiaTheme="minorHAnsi" w:cstheme="minorBidi"/>
          <w:noProof/>
          <w:szCs w:val="22"/>
          <w:lang w:eastAsia="en-GB"/>
        </w:rPr>
        <w:t xml:space="preserve"> law on licensing of free-to-air terrestrial digital television with regional scope also provides </w:t>
      </w:r>
      <w:r w:rsidR="004C160F">
        <w:rPr>
          <w:rFonts w:eastAsiaTheme="minorHAnsi" w:cstheme="minorBidi"/>
          <w:noProof/>
          <w:szCs w:val="22"/>
          <w:lang w:eastAsia="en-GB"/>
        </w:rPr>
        <w:t xml:space="preserve">transparent and objective </w:t>
      </w:r>
      <w:r w:rsidRPr="000275CD">
        <w:rPr>
          <w:rFonts w:eastAsiaTheme="minorHAnsi" w:cstheme="minorBidi"/>
          <w:noProof/>
          <w:szCs w:val="22"/>
          <w:lang w:eastAsia="en-GB"/>
        </w:rPr>
        <w:t>criteria with regard to eligibility for state advertising</w:t>
      </w:r>
      <w:r w:rsidR="004C160F">
        <w:rPr>
          <w:rFonts w:eastAsiaTheme="minorHAnsi" w:cstheme="minorBidi"/>
          <w:noProof/>
          <w:szCs w:val="22"/>
          <w:lang w:eastAsia="en-GB"/>
        </w:rPr>
        <w:t xml:space="preserve">, including </w:t>
      </w:r>
      <w:r w:rsidR="00455D33">
        <w:rPr>
          <w:rFonts w:eastAsiaTheme="minorHAnsi" w:cstheme="minorBidi"/>
          <w:noProof/>
          <w:szCs w:val="22"/>
          <w:lang w:eastAsia="en-GB"/>
        </w:rPr>
        <w:t>media concentration limits</w:t>
      </w:r>
      <w:r w:rsidR="0026111C">
        <w:rPr>
          <w:rStyle w:val="FootnoteReference"/>
          <w:rFonts w:eastAsiaTheme="minorHAnsi" w:cstheme="minorBidi"/>
          <w:noProof/>
          <w:szCs w:val="22"/>
          <w:lang w:eastAsia="en-GB"/>
        </w:rPr>
        <w:footnoteReference w:id="129"/>
      </w:r>
      <w:r w:rsidRPr="000275CD">
        <w:rPr>
          <w:rFonts w:eastAsiaTheme="minorHAnsi" w:cstheme="minorBidi"/>
          <w:noProof/>
          <w:szCs w:val="22"/>
          <w:lang w:eastAsia="en-GB"/>
        </w:rPr>
        <w:t>.</w:t>
      </w:r>
      <w:r w:rsidRPr="000275CD">
        <w:rPr>
          <w:rFonts w:eastAsiaTheme="minorHAnsi" w:cstheme="minorBidi"/>
          <w:noProof/>
          <w:szCs w:val="22"/>
          <w:lang w:eastAsia="en-US"/>
        </w:rPr>
        <w:t xml:space="preserve"> </w:t>
      </w:r>
      <w:r w:rsidR="00F8196D" w:rsidRPr="008E2376">
        <w:rPr>
          <w:bCs/>
          <w:noProof/>
          <w:szCs w:val="24"/>
          <w:lang w:val="en-US"/>
        </w:rPr>
        <w:t>The same legislative initiative also provides for the establishment of a unified National Media Ownership Database, consolidating information currently maintained in separate registries.</w:t>
      </w:r>
      <w:r w:rsidR="00F8196D" w:rsidRPr="008E2376">
        <w:rPr>
          <w:rFonts w:eastAsiaTheme="minorHAnsi" w:cstheme="minorBidi"/>
          <w:noProof/>
          <w:sz w:val="28"/>
          <w:szCs w:val="24"/>
          <w:lang w:eastAsia="en-US"/>
        </w:rPr>
        <w:t xml:space="preserve"> </w:t>
      </w:r>
      <w:r w:rsidRPr="000275CD">
        <w:rPr>
          <w:rFonts w:eastAsiaTheme="minorHAnsi" w:cstheme="minorBidi"/>
          <w:noProof/>
          <w:szCs w:val="22"/>
          <w:lang w:eastAsia="en-US"/>
        </w:rPr>
        <w:t>Some stakeholders nevertheless note that the lack of transparency of state advertising and the dependency of some media outlets are problems still affecting media pluralism and editorial independence, namely during pre-election periods</w:t>
      </w:r>
      <w:r w:rsidRPr="000275CD">
        <w:rPr>
          <w:rFonts w:eastAsiaTheme="minorHAnsi" w:cstheme="minorBidi"/>
          <w:noProof/>
          <w:szCs w:val="22"/>
          <w:vertAlign w:val="superscript"/>
          <w:lang w:eastAsia="en-US"/>
        </w:rPr>
        <w:footnoteReference w:id="130"/>
      </w:r>
      <w:r w:rsidRPr="000275CD">
        <w:rPr>
          <w:rFonts w:eastAsiaTheme="minorHAnsi" w:cstheme="minorBidi"/>
          <w:noProof/>
          <w:szCs w:val="22"/>
          <w:lang w:eastAsia="en-US"/>
        </w:rPr>
        <w:t>. The 2026 MPM notes</w:t>
      </w:r>
      <w:r w:rsidRPr="000275CD">
        <w:rPr>
          <w:rFonts w:eastAsiaTheme="minorHAnsi" w:cstheme="minorBidi"/>
          <w:i/>
          <w:noProof/>
          <w:szCs w:val="22"/>
          <w:lang w:eastAsia="en-US"/>
        </w:rPr>
        <w:t xml:space="preserve"> </w:t>
      </w:r>
      <w:r w:rsidRPr="000275CD">
        <w:rPr>
          <w:rFonts w:eastAsiaTheme="minorHAnsi" w:cstheme="minorBidi"/>
          <w:noProof/>
          <w:szCs w:val="22"/>
          <w:lang w:eastAsia="en-US"/>
        </w:rPr>
        <w:t xml:space="preserve">the update </w:t>
      </w:r>
      <w:r w:rsidRPr="000275CD">
        <w:rPr>
          <w:rFonts w:eastAsiaTheme="minorHAnsi" w:cstheme="minorBidi"/>
          <w:noProof/>
          <w:color w:val="000000" w:themeColor="text1"/>
          <w:szCs w:val="22"/>
          <w:lang w:eastAsia="en-US"/>
        </w:rPr>
        <w:t>of the legal framework and has maintained its medium to low-risk score for this area</w:t>
      </w:r>
      <w:r w:rsidRPr="000275CD">
        <w:rPr>
          <w:rFonts w:eastAsiaTheme="minorHAnsi" w:cstheme="minorBidi"/>
          <w:noProof/>
          <w:color w:val="000000" w:themeColor="text1"/>
          <w:szCs w:val="22"/>
          <w:vertAlign w:val="superscript"/>
          <w:lang w:eastAsia="en-US"/>
        </w:rPr>
        <w:footnoteReference w:id="131"/>
      </w:r>
      <w:r w:rsidRPr="000275CD">
        <w:rPr>
          <w:rFonts w:eastAsiaTheme="minorHAnsi" w:cstheme="minorBidi"/>
          <w:noProof/>
          <w:color w:val="000000" w:themeColor="text1"/>
          <w:szCs w:val="22"/>
          <w:lang w:eastAsia="en-US"/>
        </w:rPr>
        <w:t>.</w:t>
      </w:r>
      <w:r w:rsidRPr="000275CD">
        <w:rPr>
          <w:rFonts w:eastAsia="Calibri" w:cstheme="minorBidi"/>
          <w:noProof/>
          <w:color w:val="000000" w:themeColor="text1"/>
          <w:szCs w:val="22"/>
          <w:lang w:eastAsia="en-US"/>
        </w:rPr>
        <w:t xml:space="preserve"> It continues to note high levels of media concentration as a problem in Greece</w:t>
      </w:r>
      <w:r w:rsidR="00006B08">
        <w:rPr>
          <w:rFonts w:eastAsia="Calibri" w:cstheme="minorBidi"/>
          <w:noProof/>
          <w:color w:val="000000" w:themeColor="text1"/>
          <w:szCs w:val="22"/>
          <w:lang w:eastAsia="en-US"/>
        </w:rPr>
        <w:t xml:space="preserve">, despite the new </w:t>
      </w:r>
      <w:r w:rsidR="00FF0CE6">
        <w:rPr>
          <w:rFonts w:eastAsia="Calibri" w:cstheme="minorBidi"/>
          <w:noProof/>
          <w:color w:val="000000" w:themeColor="text1"/>
          <w:szCs w:val="22"/>
          <w:lang w:eastAsia="en-US"/>
        </w:rPr>
        <w:t xml:space="preserve">media concentration limits foreseen in the new legislation on </w:t>
      </w:r>
      <w:r w:rsidR="005B4749">
        <w:rPr>
          <w:rFonts w:eastAsia="Calibri" w:cstheme="minorBidi"/>
          <w:noProof/>
          <w:color w:val="000000" w:themeColor="text1"/>
          <w:szCs w:val="22"/>
          <w:lang w:eastAsia="en-US"/>
        </w:rPr>
        <w:t>licensing of free-to-air terrestrial digital television.</w:t>
      </w:r>
      <w:r w:rsidRPr="000275CD">
        <w:rPr>
          <w:rFonts w:eastAsia="Calibri" w:cstheme="minorBidi"/>
          <w:noProof/>
          <w:color w:val="000000" w:themeColor="text1"/>
          <w:szCs w:val="22"/>
          <w:vertAlign w:val="superscript"/>
          <w:lang w:eastAsia="en-US"/>
        </w:rPr>
        <w:footnoteReference w:id="132"/>
      </w:r>
      <w:r w:rsidRPr="000275CD">
        <w:rPr>
          <w:rFonts w:eastAsia="Calibri" w:cstheme="minorBidi"/>
          <w:noProof/>
          <w:color w:val="000000" w:themeColor="text1"/>
          <w:szCs w:val="22"/>
          <w:lang w:eastAsia="en-US"/>
        </w:rPr>
        <w:t xml:space="preserve">. </w:t>
      </w:r>
    </w:p>
    <w:p w14:paraId="27EDB88B" w14:textId="6A8D78A3" w:rsidR="00E51455" w:rsidRPr="000275CD" w:rsidRDefault="00E51455" w:rsidP="00E51455">
      <w:pPr>
        <w:rPr>
          <w:rFonts w:eastAsiaTheme="minorHAnsi" w:cstheme="minorBidi"/>
          <w:noProof/>
          <w:color w:val="000000" w:themeColor="text1"/>
          <w:szCs w:val="22"/>
          <w:lang w:eastAsia="en-US"/>
        </w:rPr>
      </w:pPr>
      <w:bookmarkStart w:id="27" w:name="_Hlk224569183"/>
      <w:r w:rsidRPr="000275CD">
        <w:rPr>
          <w:rFonts w:eastAsiaTheme="minorHAnsi" w:cstheme="minorBidi"/>
          <w:b/>
          <w:bCs/>
          <w:noProof/>
          <w:color w:val="000000" w:themeColor="text1"/>
          <w:szCs w:val="22"/>
          <w:lang w:eastAsia="en-GB"/>
        </w:rPr>
        <w:t xml:space="preserve">New requirements relating to the legal framework on access to information as amended last year start being applied. </w:t>
      </w:r>
      <w:bookmarkEnd w:id="27"/>
      <w:r w:rsidRPr="000275CD">
        <w:rPr>
          <w:rFonts w:eastAsiaTheme="minorHAnsi" w:cstheme="minorBidi"/>
          <w:noProof/>
          <w:color w:val="000000" w:themeColor="text1"/>
          <w:szCs w:val="22"/>
          <w:lang w:eastAsia="en-US"/>
        </w:rPr>
        <w:t>New requirements have been introduced by Ministerial Decision regarding the filing of non-anonymous requests for access to documents in view of further amending the legal framework following the update of the Code of Administrative Procedure whereby it was clarified that documents can be requested either anonymously or with identification by any individual or legal entity unless the document contains personal data</w:t>
      </w:r>
      <w:r w:rsidRPr="000275CD">
        <w:rPr>
          <w:rFonts w:eastAsiaTheme="minorHAnsi" w:cstheme="minorBidi"/>
          <w:noProof/>
          <w:color w:val="000000" w:themeColor="text1"/>
          <w:szCs w:val="22"/>
          <w:vertAlign w:val="superscript"/>
          <w:lang w:eastAsia="en-US"/>
        </w:rPr>
        <w:footnoteReference w:id="133"/>
      </w:r>
      <w:r w:rsidRPr="000275CD">
        <w:rPr>
          <w:rFonts w:eastAsiaTheme="minorHAnsi" w:cstheme="minorBidi"/>
          <w:noProof/>
          <w:color w:val="000000" w:themeColor="text1"/>
          <w:szCs w:val="22"/>
          <w:lang w:eastAsia="en-US"/>
        </w:rPr>
        <w:t>. Stakeholders consider such requirements, notably a certified digital signature, to be disproportionate</w:t>
      </w:r>
      <w:r w:rsidRPr="000275CD">
        <w:rPr>
          <w:rFonts w:eastAsiaTheme="minorHAnsi" w:cstheme="minorBidi"/>
          <w:noProof/>
          <w:color w:val="000000" w:themeColor="text1"/>
          <w:szCs w:val="22"/>
          <w:vertAlign w:val="superscript"/>
          <w:lang w:eastAsia="en-US"/>
        </w:rPr>
        <w:footnoteReference w:id="134"/>
      </w:r>
      <w:r w:rsidRPr="000275CD">
        <w:rPr>
          <w:rFonts w:eastAsiaTheme="minorHAnsi" w:cstheme="minorBidi"/>
          <w:noProof/>
          <w:color w:val="000000" w:themeColor="text1"/>
          <w:szCs w:val="22"/>
          <w:lang w:eastAsia="en-US"/>
        </w:rPr>
        <w:t>. Moreover, stakeholders continue to indicate that there is a lack of awareness by public authorities about the applicable legal obligations and their scope.</w:t>
      </w:r>
      <w:r w:rsidRPr="000275CD">
        <w:rPr>
          <w:rFonts w:eastAsiaTheme="minorHAnsi" w:cstheme="minorBidi"/>
          <w:b/>
          <w:bCs/>
          <w:noProof/>
          <w:color w:val="000000" w:themeColor="text1"/>
          <w:szCs w:val="22"/>
          <w:lang w:eastAsia="en-GB"/>
        </w:rPr>
        <w:t xml:space="preserve"> </w:t>
      </w:r>
      <w:r w:rsidRPr="000275CD">
        <w:rPr>
          <w:rFonts w:eastAsiaTheme="minorHAnsi" w:cstheme="minorBidi"/>
          <w:noProof/>
          <w:color w:val="000000" w:themeColor="text1"/>
          <w:szCs w:val="22"/>
          <w:lang w:eastAsia="en-US"/>
        </w:rPr>
        <w:t>While the Government does not yet have aggregated data on such requests, it has asked all relevant public entities to gather such data</w:t>
      </w:r>
      <w:r w:rsidR="00F21AF1">
        <w:rPr>
          <w:rFonts w:eastAsiaTheme="minorHAnsi" w:cstheme="minorBidi"/>
          <w:noProof/>
          <w:color w:val="000000" w:themeColor="text1"/>
          <w:szCs w:val="22"/>
          <w:lang w:eastAsia="en-US"/>
        </w:rPr>
        <w:t xml:space="preserve"> by early July 2026</w:t>
      </w:r>
      <w:r w:rsidRPr="000275CD">
        <w:rPr>
          <w:rFonts w:eastAsiaTheme="minorHAnsi" w:cstheme="minorBidi"/>
          <w:noProof/>
          <w:color w:val="000000" w:themeColor="text1"/>
          <w:szCs w:val="22"/>
          <w:vertAlign w:val="superscript"/>
          <w:lang w:eastAsia="en-US"/>
        </w:rPr>
        <w:footnoteReference w:id="135"/>
      </w:r>
      <w:r w:rsidRPr="000275CD">
        <w:rPr>
          <w:rFonts w:eastAsiaTheme="minorHAnsi" w:cstheme="minorBidi"/>
          <w:noProof/>
          <w:color w:val="000000" w:themeColor="text1"/>
          <w:szCs w:val="22"/>
          <w:lang w:eastAsia="en-US"/>
        </w:rPr>
        <w:t>. The 2026 MPM notes that “the right to information is legally protected, but challenges persist in balancing transparency with privacy and security considerations, particularly in the digital environment</w:t>
      </w:r>
      <w:r w:rsidRPr="000275CD">
        <w:rPr>
          <w:rFonts w:eastAsiaTheme="minorHAnsi" w:cstheme="minorBidi"/>
          <w:noProof/>
          <w:color w:val="000000" w:themeColor="text1"/>
          <w:szCs w:val="22"/>
          <w:vertAlign w:val="superscript"/>
          <w:lang w:eastAsia="en-US"/>
        </w:rPr>
        <w:footnoteReference w:id="136"/>
      </w:r>
      <w:r w:rsidRPr="000275CD">
        <w:rPr>
          <w:rFonts w:eastAsiaTheme="minorHAnsi" w:cstheme="minorBidi"/>
          <w:noProof/>
          <w:color w:val="000000" w:themeColor="text1"/>
          <w:szCs w:val="22"/>
          <w:lang w:eastAsia="en-US"/>
        </w:rPr>
        <w:t>.</w:t>
      </w:r>
    </w:p>
    <w:p w14:paraId="65CD6C8F" w14:textId="6C77E83E" w:rsidR="00E51455" w:rsidRPr="000275CD" w:rsidRDefault="00E51455" w:rsidP="00E51455">
      <w:pPr>
        <w:rPr>
          <w:rFonts w:eastAsia="Calibri" w:cstheme="minorBidi"/>
          <w:noProof/>
          <w:color w:val="002060"/>
          <w:szCs w:val="22"/>
          <w:lang w:eastAsia="en-US"/>
        </w:rPr>
      </w:pPr>
      <w:bookmarkStart w:id="28" w:name="_Hlk224572086"/>
      <w:r w:rsidRPr="000275CD">
        <w:rPr>
          <w:rFonts w:eastAsiaTheme="minorHAnsi" w:cstheme="minorBidi"/>
          <w:b/>
          <w:bCs/>
          <w:noProof/>
          <w:szCs w:val="22"/>
          <w:lang w:eastAsia="en-GB"/>
        </w:rPr>
        <w:t>A</w:t>
      </w:r>
      <w:r w:rsidR="00351609">
        <w:rPr>
          <w:rFonts w:eastAsiaTheme="minorHAnsi" w:cstheme="minorBidi"/>
          <w:b/>
          <w:bCs/>
          <w:noProof/>
          <w:szCs w:val="22"/>
          <w:lang w:eastAsia="en-GB"/>
        </w:rPr>
        <w:t>s provided by law, a</w:t>
      </w:r>
      <w:r w:rsidRPr="000275CD">
        <w:rPr>
          <w:rFonts w:eastAsiaTheme="minorHAnsi" w:cstheme="minorBidi"/>
          <w:b/>
          <w:bCs/>
          <w:noProof/>
          <w:szCs w:val="22"/>
          <w:lang w:eastAsia="en-GB"/>
        </w:rPr>
        <w:t xml:space="preserve"> national action plan is in preparation to address threats to the safety of journalists. </w:t>
      </w:r>
      <w:bookmarkEnd w:id="28"/>
      <w:r w:rsidRPr="000275CD">
        <w:rPr>
          <w:rFonts w:eastAsiaTheme="minorHAnsi" w:cstheme="minorBidi"/>
          <w:noProof/>
          <w:szCs w:val="22"/>
          <w:lang w:eastAsia="en-GB"/>
        </w:rPr>
        <w:t xml:space="preserve">A newly adopted law establishes new competences for the Task Force on Safety of Journalists on the Protection, Safety and Empowerment of Journalists and Media Professionals, and </w:t>
      </w:r>
      <w:r w:rsidR="00033123">
        <w:rPr>
          <w:rFonts w:eastAsiaTheme="minorHAnsi" w:cstheme="minorBidi"/>
          <w:noProof/>
          <w:szCs w:val="22"/>
          <w:lang w:eastAsia="en-GB"/>
        </w:rPr>
        <w:t>mandates the adoption of</w:t>
      </w:r>
      <w:r w:rsidR="00033123" w:rsidRPr="000275CD">
        <w:rPr>
          <w:rFonts w:eastAsiaTheme="minorHAnsi" w:cstheme="minorBidi"/>
          <w:noProof/>
          <w:szCs w:val="22"/>
          <w:lang w:eastAsia="en-GB"/>
        </w:rPr>
        <w:t xml:space="preserve"> </w:t>
      </w:r>
      <w:r w:rsidRPr="000275CD">
        <w:rPr>
          <w:rFonts w:eastAsiaTheme="minorHAnsi" w:cstheme="minorBidi"/>
          <w:noProof/>
          <w:szCs w:val="22"/>
          <w:lang w:eastAsia="en-GB"/>
        </w:rPr>
        <w:t>a National Action Plan for the Safety of Journalists</w:t>
      </w:r>
      <w:r w:rsidR="000B7858">
        <w:rPr>
          <w:rFonts w:eastAsiaTheme="minorHAnsi" w:cstheme="minorBidi"/>
          <w:noProof/>
          <w:szCs w:val="22"/>
          <w:lang w:eastAsia="en-GB"/>
        </w:rPr>
        <w:t xml:space="preserve"> w</w:t>
      </w:r>
      <w:r w:rsidR="006E00E2">
        <w:rPr>
          <w:rFonts w:eastAsiaTheme="minorHAnsi" w:cstheme="minorBidi"/>
          <w:noProof/>
          <w:szCs w:val="22"/>
          <w:lang w:eastAsia="en-GB"/>
        </w:rPr>
        <w:t xml:space="preserve">hose </w:t>
      </w:r>
      <w:r w:rsidR="00F64F88">
        <w:rPr>
          <w:rFonts w:eastAsiaTheme="minorHAnsi" w:cstheme="minorBidi"/>
          <w:noProof/>
          <w:szCs w:val="22"/>
          <w:lang w:eastAsia="en-GB"/>
        </w:rPr>
        <w:t>public consultation was launched on 24 June</w:t>
      </w:r>
      <w:r w:rsidR="00664E0F">
        <w:rPr>
          <w:rFonts w:eastAsiaTheme="minorHAnsi" w:cstheme="minorBidi"/>
          <w:noProof/>
          <w:szCs w:val="22"/>
          <w:lang w:eastAsia="en-GB"/>
        </w:rPr>
        <w:t xml:space="preserve"> 2026</w:t>
      </w:r>
      <w:r w:rsidRPr="000275CD">
        <w:rPr>
          <w:rFonts w:eastAsiaTheme="minorHAnsi" w:cstheme="minorBidi"/>
          <w:noProof/>
          <w:szCs w:val="22"/>
          <w:vertAlign w:val="superscript"/>
          <w:lang w:eastAsia="en-US"/>
        </w:rPr>
        <w:footnoteReference w:id="137"/>
      </w:r>
      <w:r w:rsidRPr="000275CD">
        <w:rPr>
          <w:rFonts w:eastAsiaTheme="minorHAnsi" w:cstheme="minorBidi"/>
          <w:noProof/>
          <w:szCs w:val="22"/>
          <w:lang w:eastAsia="en-GB"/>
        </w:rPr>
        <w:t xml:space="preserve">. The draft Action Plan, currently under discussion in view of adoption </w:t>
      </w:r>
      <w:r w:rsidR="00303D02">
        <w:rPr>
          <w:rFonts w:eastAsiaTheme="minorHAnsi" w:cstheme="minorBidi"/>
          <w:noProof/>
          <w:szCs w:val="22"/>
          <w:lang w:eastAsia="en-GB"/>
        </w:rPr>
        <w:t>in September</w:t>
      </w:r>
      <w:r w:rsidR="00664E0F">
        <w:rPr>
          <w:rFonts w:eastAsiaTheme="minorHAnsi" w:cstheme="minorBidi"/>
          <w:noProof/>
          <w:szCs w:val="22"/>
          <w:lang w:eastAsia="en-GB"/>
        </w:rPr>
        <w:t xml:space="preserve"> 2026</w:t>
      </w:r>
      <w:r w:rsidRPr="000275CD">
        <w:rPr>
          <w:rFonts w:eastAsiaTheme="minorHAnsi" w:cstheme="minorBidi"/>
          <w:noProof/>
          <w:szCs w:val="22"/>
          <w:lang w:eastAsia="en-GB"/>
        </w:rPr>
        <w:t>, aims to holistically address threats to the safety of journalists, strengthening their protection on the field. It further aims to strengthen the institutional response to such threats by recording incidents, developing early warning and supporting mechanisms, carrying out educational actions, and fostering cross-sectorial cooperation and coordination with EU mechanisms and institutions. In 2025, a new course on freedom of expression and the safety of journalists was introduced into the training programme of the Hellenic Police Academy and consultations are ongoing regarding the regular funding and sustainability of the International Training Center for the Safety of Journalists and Media Professionals</w:t>
      </w:r>
      <w:r w:rsidRPr="000275CD">
        <w:rPr>
          <w:rFonts w:eastAsiaTheme="minorHAnsi" w:cstheme="minorBidi"/>
          <w:noProof/>
          <w:szCs w:val="22"/>
          <w:vertAlign w:val="superscript"/>
          <w:lang w:eastAsia="en-US"/>
        </w:rPr>
        <w:footnoteReference w:id="138"/>
      </w:r>
      <w:r w:rsidRPr="000275CD">
        <w:rPr>
          <w:rFonts w:eastAsiaTheme="minorHAnsi" w:cstheme="minorBidi"/>
          <w:noProof/>
          <w:szCs w:val="22"/>
          <w:lang w:eastAsia="en-GB"/>
        </w:rPr>
        <w:t xml:space="preserve">. </w:t>
      </w:r>
      <w:r w:rsidR="000F131C">
        <w:rPr>
          <w:rFonts w:eastAsiaTheme="minorHAnsi" w:cstheme="minorBidi"/>
          <w:noProof/>
          <w:szCs w:val="22"/>
          <w:lang w:eastAsia="en-GB"/>
        </w:rPr>
        <w:t xml:space="preserve">In June 2026, a proposal </w:t>
      </w:r>
      <w:r w:rsidR="0099134E">
        <w:rPr>
          <w:rFonts w:eastAsiaTheme="minorHAnsi" w:cstheme="minorBidi"/>
          <w:noProof/>
          <w:szCs w:val="22"/>
          <w:lang w:eastAsia="en-GB"/>
        </w:rPr>
        <w:t>to enshrine in the Constitution</w:t>
      </w:r>
      <w:r w:rsidR="000F131C">
        <w:rPr>
          <w:rFonts w:eastAsiaTheme="minorHAnsi" w:cstheme="minorBidi"/>
          <w:noProof/>
          <w:szCs w:val="22"/>
          <w:lang w:eastAsia="en-GB"/>
        </w:rPr>
        <w:t xml:space="preserve"> the protection of journalists and their editorial independence was submitted by the </w:t>
      </w:r>
      <w:r w:rsidR="00982498">
        <w:rPr>
          <w:rFonts w:eastAsiaTheme="minorHAnsi" w:cstheme="minorBidi"/>
          <w:noProof/>
          <w:szCs w:val="22"/>
          <w:lang w:eastAsia="en-GB"/>
        </w:rPr>
        <w:t>ruling majority</w:t>
      </w:r>
      <w:r w:rsidR="000F131C">
        <w:rPr>
          <w:rFonts w:eastAsiaTheme="minorHAnsi" w:cstheme="minorBidi"/>
          <w:noProof/>
          <w:szCs w:val="22"/>
          <w:lang w:eastAsia="en-GB"/>
        </w:rPr>
        <w:t xml:space="preserve"> to the Parliament</w:t>
      </w:r>
      <w:r w:rsidR="00DC716B">
        <w:rPr>
          <w:rStyle w:val="FootnoteReference"/>
          <w:rFonts w:eastAsiaTheme="minorHAnsi" w:cstheme="minorBidi"/>
          <w:noProof/>
          <w:szCs w:val="22"/>
          <w:lang w:eastAsia="en-GB"/>
        </w:rPr>
        <w:footnoteReference w:id="139"/>
      </w:r>
      <w:r w:rsidR="000F131C">
        <w:rPr>
          <w:rFonts w:eastAsiaTheme="minorHAnsi" w:cstheme="minorBidi"/>
          <w:noProof/>
          <w:szCs w:val="22"/>
          <w:lang w:eastAsia="en-GB"/>
        </w:rPr>
        <w:t xml:space="preserve">. </w:t>
      </w:r>
      <w:r w:rsidR="00526234" w:rsidRPr="00526234">
        <w:rPr>
          <w:rFonts w:eastAsiaTheme="minorHAnsi" w:cstheme="minorBidi"/>
          <w:noProof/>
          <w:szCs w:val="22"/>
          <w:lang w:eastAsia="en-GB"/>
        </w:rPr>
        <w:t>A new collective labour agreement for journalists in the public sector is expected to be signed within June 2026, introducing additional safeguards relevant to the safety of journalists</w:t>
      </w:r>
      <w:r w:rsidR="00DC716B">
        <w:rPr>
          <w:rStyle w:val="FootnoteReference"/>
          <w:rFonts w:eastAsiaTheme="minorHAnsi" w:cstheme="minorBidi"/>
          <w:noProof/>
          <w:szCs w:val="22"/>
          <w:lang w:eastAsia="en-GB"/>
        </w:rPr>
        <w:footnoteReference w:id="140"/>
      </w:r>
      <w:r w:rsidR="00526234" w:rsidRPr="00526234">
        <w:rPr>
          <w:rFonts w:eastAsiaTheme="minorHAnsi" w:cstheme="minorBidi"/>
          <w:noProof/>
          <w:szCs w:val="22"/>
          <w:lang w:eastAsia="en-GB"/>
        </w:rPr>
        <w:t>.</w:t>
      </w:r>
      <w:r w:rsidR="000F131C">
        <w:rPr>
          <w:rFonts w:eastAsiaTheme="minorHAnsi" w:cstheme="minorBidi"/>
          <w:noProof/>
          <w:szCs w:val="22"/>
          <w:lang w:eastAsia="en-GB"/>
        </w:rPr>
        <w:t xml:space="preserve"> </w:t>
      </w:r>
      <w:r w:rsidR="002514A8" w:rsidRPr="000C41ED">
        <w:rPr>
          <w:rFonts w:eastAsiaTheme="minorHAnsi" w:cstheme="minorBidi"/>
          <w:noProof/>
          <w:szCs w:val="22"/>
          <w:lang w:val="en-US" w:eastAsia="en-GB"/>
        </w:rPr>
        <w:t xml:space="preserve">Further measures have been taken to address the economic pressures affecting the media sector and support </w:t>
      </w:r>
      <w:r w:rsidR="002514A8" w:rsidRPr="00467D7F">
        <w:rPr>
          <w:rFonts w:eastAsiaTheme="minorHAnsi" w:cstheme="minorBidi"/>
          <w:noProof/>
          <w:szCs w:val="22"/>
          <w:lang w:eastAsia="en-GB"/>
        </w:rPr>
        <w:t>employment, in particular an amount of up to EUR 16.8 million through the 2026 annual support programme.</w:t>
      </w:r>
      <w:r w:rsidR="00467D7F" w:rsidRPr="00467D7F">
        <w:rPr>
          <w:rFonts w:eastAsiaTheme="minorHAnsi" w:cstheme="minorBidi"/>
          <w:noProof/>
          <w:szCs w:val="22"/>
          <w:lang w:eastAsia="en-GB"/>
        </w:rPr>
        <w:t xml:space="preserve"> </w:t>
      </w:r>
      <w:r w:rsidRPr="00467D7F">
        <w:rPr>
          <w:rFonts w:eastAsia="Calibri" w:cstheme="minorBidi"/>
          <w:noProof/>
          <w:color w:val="000000" w:themeColor="text1"/>
          <w:szCs w:val="22"/>
          <w:lang w:eastAsia="en-US"/>
        </w:rPr>
        <w:t xml:space="preserve">The 2026 MPM maintains </w:t>
      </w:r>
      <w:r w:rsidRPr="00467D7F">
        <w:rPr>
          <w:rFonts w:eastAsiaTheme="minorHAnsi" w:cstheme="minorBidi"/>
          <w:noProof/>
          <w:color w:val="000000" w:themeColor="text1"/>
          <w:szCs w:val="22"/>
          <w:lang w:eastAsia="fr-FR"/>
        </w:rPr>
        <w:t>its previous score of the area “journalistic profession, its standard and protection” as high risk</w:t>
      </w:r>
      <w:r w:rsidRPr="00467D7F">
        <w:rPr>
          <w:rFonts w:eastAsiaTheme="minorHAnsi" w:cstheme="minorBidi"/>
          <w:noProof/>
          <w:color w:val="000000" w:themeColor="text1"/>
          <w:szCs w:val="22"/>
          <w:vertAlign w:val="superscript"/>
          <w:lang w:eastAsia="en-US"/>
        </w:rPr>
        <w:footnoteReference w:id="141"/>
      </w:r>
      <w:r w:rsidRPr="00467D7F">
        <w:rPr>
          <w:rFonts w:eastAsiaTheme="minorHAnsi" w:cstheme="minorBidi"/>
          <w:noProof/>
          <w:color w:val="000000" w:themeColor="text1"/>
          <w:szCs w:val="22"/>
          <w:lang w:eastAsia="fr-FR"/>
        </w:rPr>
        <w:t xml:space="preserve">. </w:t>
      </w:r>
      <w:r w:rsidRPr="00467D7F">
        <w:rPr>
          <w:rFonts w:eastAsia="Calibri" w:cstheme="minorBidi"/>
          <w:noProof/>
          <w:color w:val="000000" w:themeColor="text1"/>
          <w:szCs w:val="22"/>
          <w:lang w:eastAsia="en-US"/>
        </w:rPr>
        <w:t>The Council of Europe’s Platform to promote the protection</w:t>
      </w:r>
      <w:r w:rsidRPr="000275CD">
        <w:rPr>
          <w:rFonts w:eastAsia="Calibri" w:cstheme="minorBidi"/>
          <w:noProof/>
          <w:color w:val="000000" w:themeColor="text1"/>
          <w:szCs w:val="22"/>
          <w:lang w:eastAsia="en-US"/>
        </w:rPr>
        <w:t xml:space="preserve"> of journalism and safety of journalists registered </w:t>
      </w:r>
      <w:r w:rsidRPr="000275CD">
        <w:rPr>
          <w:rFonts w:eastAsia="Calibri" w:cstheme="minorBidi"/>
          <w:noProof/>
          <w:color w:val="000000" w:themeColor="text1"/>
          <w:szCs w:val="22"/>
          <w:lang w:eastAsia="bg-BG" w:bidi="bg-BG"/>
        </w:rPr>
        <w:t>three aler</w:t>
      </w:r>
      <w:r w:rsidRPr="000275CD">
        <w:rPr>
          <w:rFonts w:eastAsia="Calibri" w:cstheme="minorBidi"/>
          <w:noProof/>
          <w:color w:val="000000" w:themeColor="text1"/>
          <w:szCs w:val="22"/>
          <w:lang w:eastAsia="en-US"/>
        </w:rPr>
        <w:t>ts since the publication of the 2025 Rule of Law Report relating to the physical integrity and safety of journalists</w:t>
      </w:r>
      <w:r w:rsidRPr="000275CD">
        <w:rPr>
          <w:rFonts w:eastAsia="Calibri" w:cstheme="minorBidi"/>
          <w:noProof/>
          <w:color w:val="000000" w:themeColor="text1"/>
          <w:szCs w:val="22"/>
          <w:vertAlign w:val="superscript"/>
          <w:lang w:eastAsia="en-US"/>
        </w:rPr>
        <w:footnoteReference w:id="142"/>
      </w:r>
      <w:r w:rsidRPr="000275CD">
        <w:rPr>
          <w:rFonts w:eastAsia="Calibri" w:cstheme="minorBidi"/>
          <w:noProof/>
          <w:color w:val="000000" w:themeColor="text1"/>
          <w:szCs w:val="22"/>
          <w:lang w:eastAsia="en-US"/>
        </w:rPr>
        <w:t>. The Mapping Media Freedom platform registered twelve new alerts</w:t>
      </w:r>
      <w:r w:rsidRPr="000275CD">
        <w:rPr>
          <w:rFonts w:eastAsia="Calibri" w:cstheme="minorBidi"/>
          <w:noProof/>
          <w:color w:val="000000" w:themeColor="text1"/>
          <w:szCs w:val="22"/>
          <w:vertAlign w:val="superscript"/>
          <w:lang w:eastAsia="en-US"/>
        </w:rPr>
        <w:footnoteReference w:id="143"/>
      </w:r>
      <w:r w:rsidRPr="000275CD">
        <w:rPr>
          <w:rFonts w:eastAsia="Calibri" w:cstheme="minorBidi"/>
          <w:noProof/>
          <w:color w:val="000000" w:themeColor="text1"/>
          <w:szCs w:val="22"/>
          <w:lang w:eastAsia="en-US"/>
        </w:rPr>
        <w:t xml:space="preserve"> since the publication of the 2025 Rule of Law Report relating to physical assaults or threats, legal intimidation and obstruction of access.</w:t>
      </w:r>
      <w:r w:rsidRPr="000275CD">
        <w:rPr>
          <w:rFonts w:eastAsiaTheme="minorHAnsi" w:cstheme="minorBidi"/>
          <w:noProof/>
          <w:color w:val="000000" w:themeColor="text1"/>
          <w:szCs w:val="22"/>
          <w:lang w:eastAsia="en-US"/>
        </w:rPr>
        <w:t xml:space="preserve"> Stakeholders continue to report incidents of attacks and threats against journalists</w:t>
      </w:r>
      <w:r w:rsidRPr="000275CD">
        <w:rPr>
          <w:rFonts w:eastAsiaTheme="minorHAnsi" w:cstheme="minorBidi"/>
          <w:noProof/>
          <w:szCs w:val="22"/>
          <w:vertAlign w:val="superscript"/>
          <w:lang w:eastAsia="en-US"/>
        </w:rPr>
        <w:footnoteReference w:id="144"/>
      </w:r>
      <w:r w:rsidRPr="000275CD">
        <w:rPr>
          <w:rFonts w:eastAsiaTheme="minorHAnsi" w:cstheme="minorBidi"/>
          <w:noProof/>
          <w:color w:val="000000" w:themeColor="text1"/>
          <w:szCs w:val="22"/>
          <w:lang w:eastAsia="en-US"/>
        </w:rPr>
        <w:t>,</w:t>
      </w:r>
      <w:r w:rsidRPr="000275CD">
        <w:rPr>
          <w:rFonts w:eastAsiaTheme="minorHAnsi" w:cstheme="minorBidi"/>
          <w:noProof/>
          <w:szCs w:val="22"/>
          <w:lang w:eastAsia="en-GB"/>
        </w:rPr>
        <w:t xml:space="preserve"> as well as </w:t>
      </w:r>
      <w:r w:rsidRPr="000275CD">
        <w:rPr>
          <w:rFonts w:eastAsia="Calibri" w:cstheme="minorBidi"/>
          <w:noProof/>
          <w:color w:val="000000" w:themeColor="text1"/>
          <w:szCs w:val="22"/>
          <w:lang w:eastAsia="en-US"/>
        </w:rPr>
        <w:t>difficulties accessing key sites, such as migration camps, for the purposes of investigative reporting and the absence of a collective agreement across the sector contributing to precarity of working conditions and salaries</w:t>
      </w:r>
      <w:r w:rsidRPr="000275CD">
        <w:rPr>
          <w:rFonts w:eastAsiaTheme="minorHAnsi" w:cstheme="minorBidi"/>
          <w:noProof/>
          <w:szCs w:val="22"/>
          <w:vertAlign w:val="superscript"/>
          <w:lang w:eastAsia="en-US"/>
        </w:rPr>
        <w:footnoteReference w:id="145"/>
      </w:r>
      <w:r w:rsidRPr="000275CD">
        <w:rPr>
          <w:rFonts w:eastAsia="Calibri" w:cstheme="minorBidi"/>
          <w:noProof/>
          <w:color w:val="000000" w:themeColor="text1"/>
          <w:szCs w:val="22"/>
          <w:lang w:eastAsia="en-US"/>
        </w:rPr>
        <w:t xml:space="preserve">. </w:t>
      </w:r>
    </w:p>
    <w:p w14:paraId="14CA8F68" w14:textId="6C44A7E5" w:rsidR="00E51455" w:rsidRPr="000275CD" w:rsidRDefault="00150024" w:rsidP="00E51455">
      <w:pPr>
        <w:rPr>
          <w:b/>
          <w:smallCaps/>
          <w:noProof/>
          <w:u w:val="single"/>
          <w:lang w:eastAsia="fr-FR"/>
        </w:rPr>
      </w:pPr>
      <w:r w:rsidRPr="1EF9F169">
        <w:rPr>
          <w:rFonts w:eastAsiaTheme="minorEastAsia" w:cstheme="minorBidi"/>
          <w:b/>
          <w:noProof/>
          <w:lang w:eastAsia="en-GB"/>
        </w:rPr>
        <w:t xml:space="preserve">Additional </w:t>
      </w:r>
      <w:r w:rsidR="005C1068" w:rsidRPr="1EF9F169">
        <w:rPr>
          <w:rFonts w:eastAsiaTheme="minorEastAsia" w:cstheme="minorBidi"/>
          <w:b/>
          <w:noProof/>
          <w:lang w:eastAsia="en-GB"/>
        </w:rPr>
        <w:t>measures have been taken</w:t>
      </w:r>
      <w:r w:rsidRPr="1EF9F169">
        <w:rPr>
          <w:rFonts w:eastAsiaTheme="minorEastAsia" w:cstheme="minorBidi"/>
          <w:b/>
          <w:noProof/>
          <w:lang w:eastAsia="en-GB"/>
        </w:rPr>
        <w:t xml:space="preserve"> </w:t>
      </w:r>
      <w:r w:rsidR="00E51455" w:rsidRPr="1EF9F169">
        <w:rPr>
          <w:rFonts w:eastAsiaTheme="minorEastAsia" w:cstheme="minorBidi"/>
          <w:b/>
          <w:noProof/>
          <w:lang w:eastAsia="en-GB"/>
        </w:rPr>
        <w:t>to improve the safety and protection of journalists, in particular as regards abusive lawsuits</w:t>
      </w:r>
      <w:r w:rsidR="00E51455" w:rsidRPr="1EF9F169">
        <w:rPr>
          <w:rFonts w:eastAsia="Calibri" w:cstheme="minorBidi"/>
          <w:noProof/>
          <w:color w:val="000000" w:themeColor="text1"/>
          <w:vertAlign w:val="superscript"/>
          <w:lang w:eastAsia="en-US"/>
        </w:rPr>
        <w:footnoteReference w:id="146"/>
      </w:r>
      <w:r w:rsidR="00E51455" w:rsidRPr="1EF9F169">
        <w:rPr>
          <w:rFonts w:eastAsiaTheme="minorEastAsia" w:cstheme="minorBidi"/>
          <w:b/>
          <w:noProof/>
          <w:lang w:eastAsia="en-GB"/>
        </w:rPr>
        <w:t>.</w:t>
      </w:r>
      <w:r w:rsidR="00E51455" w:rsidRPr="1EF9F169">
        <w:rPr>
          <w:rFonts w:eastAsiaTheme="minorEastAsia" w:cstheme="minorBidi"/>
          <w:noProof/>
          <w:lang w:eastAsia="en-GB"/>
        </w:rPr>
        <w:t xml:space="preserve"> </w:t>
      </w:r>
      <w:r w:rsidR="00E51455" w:rsidRPr="1EF9F169">
        <w:rPr>
          <w:rFonts w:eastAsiaTheme="minorEastAsia" w:cstheme="minorBidi"/>
          <w:noProof/>
          <w:color w:val="000000" w:themeColor="text1"/>
          <w:lang w:eastAsia="en-GB"/>
        </w:rPr>
        <w:t xml:space="preserve">Stakeholders reported new cases </w:t>
      </w:r>
      <w:r w:rsidR="00937E62" w:rsidRPr="1EF9F169">
        <w:rPr>
          <w:rFonts w:eastAsiaTheme="minorEastAsia" w:cstheme="minorBidi"/>
          <w:noProof/>
          <w:color w:val="000000" w:themeColor="text1"/>
          <w:lang w:eastAsia="en-GB"/>
        </w:rPr>
        <w:t xml:space="preserve">that according to them qualify as SLAPPs </w:t>
      </w:r>
      <w:r w:rsidR="00E51455" w:rsidRPr="1EF9F169">
        <w:rPr>
          <w:rFonts w:eastAsiaTheme="minorEastAsia" w:cstheme="minorBidi"/>
          <w:noProof/>
          <w:color w:val="000000" w:themeColor="text1"/>
          <w:lang w:eastAsia="en-GB"/>
        </w:rPr>
        <w:t>and underlined the need to have adequate legislation in place</w:t>
      </w:r>
      <w:r w:rsidR="00E51455" w:rsidRPr="1EF9F169">
        <w:rPr>
          <w:rFonts w:eastAsiaTheme="minorEastAsia" w:cstheme="minorBidi"/>
          <w:noProof/>
          <w:vertAlign w:val="superscript"/>
          <w:lang w:eastAsia="en-US"/>
        </w:rPr>
        <w:footnoteReference w:id="147"/>
      </w:r>
      <w:r w:rsidR="00E51455" w:rsidRPr="1EF9F169">
        <w:rPr>
          <w:rFonts w:eastAsiaTheme="minorEastAsia" w:cstheme="minorBidi"/>
          <w:noProof/>
          <w:color w:val="000000" w:themeColor="text1"/>
          <w:lang w:eastAsia="en-GB"/>
        </w:rPr>
        <w:t>.</w:t>
      </w:r>
      <w:r w:rsidR="00E51455" w:rsidRPr="1EF9F169">
        <w:rPr>
          <w:rFonts w:eastAsiaTheme="minorEastAsia" w:cstheme="minorBidi"/>
          <w:noProof/>
          <w:lang w:eastAsia="en-GB"/>
        </w:rPr>
        <w:t xml:space="preserve"> </w:t>
      </w:r>
      <w:r w:rsidR="001175A3">
        <w:rPr>
          <w:rFonts w:eastAsiaTheme="minorEastAsia" w:cstheme="minorBidi"/>
          <w:noProof/>
          <w:lang w:eastAsia="en-GB"/>
        </w:rPr>
        <w:t>D</w:t>
      </w:r>
      <w:r w:rsidR="00E51455" w:rsidRPr="1EF9F169">
        <w:rPr>
          <w:rFonts w:eastAsiaTheme="minorEastAsia" w:cstheme="minorBidi"/>
          <w:noProof/>
          <w:lang w:eastAsia="en-GB"/>
        </w:rPr>
        <w:t xml:space="preserve">raft legislation </w:t>
      </w:r>
      <w:r w:rsidR="00E51455" w:rsidRPr="1EF9F169">
        <w:rPr>
          <w:rFonts w:eastAsia="Calibri" w:cstheme="minorBidi"/>
          <w:noProof/>
          <w:color w:val="000000" w:themeColor="text1"/>
          <w:lang w:eastAsia="en-US"/>
        </w:rPr>
        <w:t>transposing</w:t>
      </w:r>
      <w:r w:rsidR="00E51455" w:rsidRPr="1EF9F169">
        <w:rPr>
          <w:rFonts w:eastAsiaTheme="minorEastAsia" w:cstheme="minorBidi"/>
          <w:noProof/>
          <w:color w:val="000000" w:themeColor="text1"/>
          <w:lang w:eastAsia="en-US"/>
        </w:rPr>
        <w:t xml:space="preserve"> the anti-SLAPP </w:t>
      </w:r>
      <w:r w:rsidR="00E51455" w:rsidRPr="1EF9F169">
        <w:rPr>
          <w:rFonts w:eastAsia="Calibri" w:cstheme="minorBidi"/>
          <w:noProof/>
          <w:color w:val="000000" w:themeColor="text1"/>
          <w:lang w:eastAsia="en-US"/>
        </w:rPr>
        <w:t>Directive was put to public consultation</w:t>
      </w:r>
      <w:r w:rsidR="001175A3">
        <w:rPr>
          <w:rFonts w:eastAsia="Calibri" w:cstheme="minorBidi"/>
          <w:noProof/>
          <w:color w:val="000000" w:themeColor="text1"/>
          <w:lang w:eastAsia="en-US"/>
        </w:rPr>
        <w:t xml:space="preserve"> in July 2026</w:t>
      </w:r>
      <w:r w:rsidR="000F392F" w:rsidRPr="1EF9F169">
        <w:rPr>
          <w:rFonts w:eastAsia="Calibri" w:cstheme="minorBidi"/>
          <w:noProof/>
          <w:color w:val="000000" w:themeColor="text1"/>
          <w:lang w:eastAsia="en-US"/>
        </w:rPr>
        <w:t xml:space="preserve">, with adoption </w:t>
      </w:r>
      <w:r w:rsidR="001175A3">
        <w:rPr>
          <w:rFonts w:eastAsia="Calibri" w:cstheme="minorBidi"/>
          <w:noProof/>
          <w:color w:val="000000" w:themeColor="text1"/>
          <w:lang w:eastAsia="en-US"/>
        </w:rPr>
        <w:t>scheduled for the same month</w:t>
      </w:r>
      <w:r w:rsidR="00E51455" w:rsidRPr="1EF9F169">
        <w:rPr>
          <w:rFonts w:eastAsia="Calibri" w:cstheme="minorBidi"/>
          <w:noProof/>
          <w:color w:val="000000" w:themeColor="text1"/>
          <w:lang w:eastAsia="en-US"/>
        </w:rPr>
        <w:t>. According to the Government, the draft law</w:t>
      </w:r>
      <w:r w:rsidR="004D2BE9" w:rsidRPr="1EF9F169">
        <w:rPr>
          <w:rFonts w:eastAsia="Calibri" w:cstheme="minorBidi"/>
          <w:noProof/>
          <w:color w:val="000000" w:themeColor="text1"/>
          <w:lang w:eastAsia="en-US"/>
        </w:rPr>
        <w:t xml:space="preserve"> </w:t>
      </w:r>
      <w:r w:rsidR="00E51455" w:rsidRPr="1EF9F169">
        <w:rPr>
          <w:rFonts w:eastAsiaTheme="minorEastAsia"/>
          <w:noProof/>
          <w:lang w:eastAsia="en-US"/>
        </w:rPr>
        <w:t>proposes procedural safeguards for early dismissal of abusive proceedings in both cross-border and domestic cases</w:t>
      </w:r>
      <w:r w:rsidR="00E51455" w:rsidRPr="1EF9F169">
        <w:rPr>
          <w:rFonts w:eastAsia="Calibri" w:cstheme="minorBidi"/>
          <w:noProof/>
          <w:color w:val="000000" w:themeColor="text1"/>
          <w:vertAlign w:val="superscript"/>
          <w:lang w:eastAsia="en-US"/>
        </w:rPr>
        <w:footnoteReference w:id="148"/>
      </w:r>
      <w:r w:rsidR="00E51455" w:rsidRPr="1EF9F169">
        <w:rPr>
          <w:rFonts w:eastAsiaTheme="minorEastAsia" w:cstheme="minorBidi"/>
          <w:noProof/>
          <w:color w:val="000000" w:themeColor="text1"/>
          <w:lang w:eastAsia="en-GB"/>
        </w:rPr>
        <w:t>.</w:t>
      </w:r>
      <w:r w:rsidR="00E51455" w:rsidRPr="1EF9F169">
        <w:rPr>
          <w:rFonts w:eastAsia="Calibri" w:cstheme="minorBidi"/>
          <w:noProof/>
          <w:color w:val="000000" w:themeColor="text1"/>
          <w:lang w:eastAsia="en-US"/>
        </w:rPr>
        <w:t xml:space="preserve"> </w:t>
      </w:r>
      <w:r w:rsidR="00E51455" w:rsidRPr="1EF9F169">
        <w:rPr>
          <w:rFonts w:eastAsiaTheme="minorEastAsia" w:cstheme="minorBidi"/>
          <w:noProof/>
          <w:color w:val="000000" w:themeColor="text1"/>
          <w:lang w:eastAsia="en-GB"/>
        </w:rPr>
        <w:t>The Committee set up to work on the draft law has received proposals from representatives of ERT and the Panhellenic Federation of Journalists' Unions (POESY). Furthermore, a newly adopted law provides state funding to the SLAPPs Observatory of POESY</w:t>
      </w:r>
      <w:r w:rsidR="00E51455" w:rsidRPr="1EF9F169">
        <w:rPr>
          <w:rFonts w:eastAsiaTheme="minorEastAsia" w:cstheme="minorBidi"/>
          <w:noProof/>
          <w:vertAlign w:val="superscript"/>
          <w:lang w:eastAsia="en-US"/>
        </w:rPr>
        <w:footnoteReference w:id="149"/>
      </w:r>
      <w:r w:rsidR="00E51455" w:rsidRPr="1EF9F169">
        <w:rPr>
          <w:rFonts w:eastAsiaTheme="minorEastAsia" w:cstheme="minorBidi"/>
          <w:noProof/>
          <w:color w:val="000000" w:themeColor="text1"/>
          <w:lang w:eastAsia="en-GB"/>
        </w:rPr>
        <w:t xml:space="preserve">. </w:t>
      </w:r>
      <w:r w:rsidR="00E51455" w:rsidRPr="1EF9F169">
        <w:rPr>
          <w:rFonts w:eastAsia="Calibri" w:cstheme="minorBidi"/>
          <w:noProof/>
          <w:color w:val="000000" w:themeColor="text1"/>
          <w:lang w:eastAsia="en-US"/>
        </w:rPr>
        <w:t xml:space="preserve">Overall, </w:t>
      </w:r>
      <w:r w:rsidR="0092570E" w:rsidRPr="1EF9F169">
        <w:rPr>
          <w:rFonts w:eastAsia="Calibri" w:cstheme="minorBidi"/>
          <w:noProof/>
          <w:color w:val="000000" w:themeColor="text1"/>
          <w:lang w:eastAsia="en-US"/>
        </w:rPr>
        <w:t xml:space="preserve">in addition to the measures adopted in previous years, </w:t>
      </w:r>
      <w:r w:rsidR="00E51455" w:rsidRPr="1EF9F169">
        <w:rPr>
          <w:rFonts w:eastAsia="Calibri" w:cstheme="minorBidi"/>
          <w:noProof/>
          <w:color w:val="000000" w:themeColor="text1"/>
          <w:lang w:eastAsia="en-US"/>
        </w:rPr>
        <w:t>there has</w:t>
      </w:r>
      <w:r w:rsidR="00E51455" w:rsidRPr="1EF9F169">
        <w:rPr>
          <w:rFonts w:eastAsiaTheme="minorEastAsia" w:cstheme="minorBidi"/>
          <w:noProof/>
          <w:color w:val="000000" w:themeColor="text1"/>
          <w:lang w:eastAsia="fr-FR"/>
        </w:rPr>
        <w:t xml:space="preserve"> been some </w:t>
      </w:r>
      <w:r w:rsidR="0092570E" w:rsidRPr="1EF9F169">
        <w:rPr>
          <w:rFonts w:eastAsiaTheme="minorEastAsia" w:cstheme="minorBidi"/>
          <w:noProof/>
          <w:color w:val="000000" w:themeColor="text1"/>
          <w:lang w:eastAsia="fr-FR"/>
        </w:rPr>
        <w:t xml:space="preserve">further </w:t>
      </w:r>
      <w:r w:rsidR="00E51455" w:rsidRPr="1EF9F169">
        <w:rPr>
          <w:rFonts w:eastAsiaTheme="minorEastAsia" w:cstheme="minorBidi"/>
          <w:noProof/>
          <w:color w:val="000000" w:themeColor="text1"/>
          <w:lang w:eastAsia="fr-FR"/>
        </w:rPr>
        <w:t>progress on the implementation of the recommendation.</w:t>
      </w:r>
    </w:p>
    <w:p w14:paraId="39EC3A03" w14:textId="77777777" w:rsidR="00E51455" w:rsidRPr="000275CD" w:rsidRDefault="00E51455" w:rsidP="00FA43FF">
      <w:pPr>
        <w:pStyle w:val="ListParagraph"/>
        <w:keepNext/>
        <w:numPr>
          <w:ilvl w:val="0"/>
          <w:numId w:val="27"/>
        </w:numPr>
        <w:outlineLvl w:val="0"/>
        <w:rPr>
          <w:b/>
          <w:smallCaps/>
          <w:noProof/>
          <w:szCs w:val="24"/>
          <w:u w:val="single"/>
          <w:lang w:val="en-IE" w:eastAsia="fr-FR"/>
        </w:rPr>
      </w:pPr>
      <w:r w:rsidRPr="000275CD">
        <w:rPr>
          <w:b/>
          <w:smallCaps/>
          <w:noProof/>
          <w:szCs w:val="24"/>
          <w:u w:val="single"/>
          <w:lang w:val="en-IE" w:eastAsia="fr-FR"/>
        </w:rPr>
        <w:t>Other Institutional Issues related to Checks and Balances</w:t>
      </w:r>
    </w:p>
    <w:p w14:paraId="4C4EF6E6" w14:textId="501F3B38" w:rsidR="009E245F" w:rsidRPr="00494ECF" w:rsidRDefault="001C5682" w:rsidP="00E51455">
      <w:pPr>
        <w:rPr>
          <w:noProof/>
          <w:lang w:eastAsia="en-GB"/>
        </w:rPr>
      </w:pPr>
      <w:r>
        <w:rPr>
          <w:b/>
          <w:bCs/>
          <w:noProof/>
          <w:lang w:val="en-GB" w:eastAsia="en-GB"/>
        </w:rPr>
        <w:t xml:space="preserve">The </w:t>
      </w:r>
      <w:r w:rsidR="00F77D33">
        <w:rPr>
          <w:b/>
          <w:bCs/>
          <w:noProof/>
          <w:lang w:val="en-GB" w:eastAsia="en-GB"/>
        </w:rPr>
        <w:t>process of</w:t>
      </w:r>
      <w:r w:rsidR="009E245F" w:rsidRPr="009E245F">
        <w:rPr>
          <w:b/>
          <w:bCs/>
          <w:noProof/>
          <w:lang w:val="en-GB" w:eastAsia="en-GB"/>
        </w:rPr>
        <w:t xml:space="preserve"> constitutional revision </w:t>
      </w:r>
      <w:r w:rsidR="00F77D33">
        <w:rPr>
          <w:b/>
          <w:bCs/>
          <w:noProof/>
          <w:lang w:val="en-GB" w:eastAsia="en-GB"/>
        </w:rPr>
        <w:t xml:space="preserve">has </w:t>
      </w:r>
      <w:r w:rsidR="009E245F" w:rsidRPr="009E245F">
        <w:rPr>
          <w:b/>
          <w:bCs/>
          <w:noProof/>
          <w:lang w:val="en-GB" w:eastAsia="en-GB"/>
        </w:rPr>
        <w:t>started, touching upon a range of rule of law issues</w:t>
      </w:r>
      <w:r w:rsidR="00F77D33">
        <w:rPr>
          <w:b/>
          <w:bCs/>
          <w:noProof/>
          <w:lang w:val="en-GB" w:eastAsia="en-GB"/>
        </w:rPr>
        <w:t xml:space="preserve">. </w:t>
      </w:r>
      <w:r w:rsidR="0043715A">
        <w:rPr>
          <w:noProof/>
          <w:lang w:val="en-GB" w:eastAsia="en-GB"/>
        </w:rPr>
        <w:t xml:space="preserve">In February </w:t>
      </w:r>
      <w:r w:rsidR="006D6EF2">
        <w:rPr>
          <w:noProof/>
          <w:lang w:val="en-GB" w:eastAsia="en-GB"/>
        </w:rPr>
        <w:t xml:space="preserve">2026, the Government </w:t>
      </w:r>
      <w:r w:rsidR="002A3625" w:rsidRPr="002A3625">
        <w:rPr>
          <w:noProof/>
          <w:lang w:eastAsia="en-GB"/>
        </w:rPr>
        <w:t>officially announced the launch of the constitutional revision process and opened a public and political dialogue on the proposed amendments</w:t>
      </w:r>
      <w:r w:rsidR="007E1F1A">
        <w:rPr>
          <w:noProof/>
          <w:lang w:eastAsia="en-GB"/>
        </w:rPr>
        <w:t>.</w:t>
      </w:r>
      <w:r w:rsidR="0052525C">
        <w:rPr>
          <w:noProof/>
          <w:lang w:eastAsia="en-GB"/>
        </w:rPr>
        <w:t xml:space="preserve"> In June 2026, t</w:t>
      </w:r>
      <w:r w:rsidR="0052525C" w:rsidRPr="0052525C">
        <w:rPr>
          <w:noProof/>
          <w:lang w:eastAsia="en-GB"/>
        </w:rPr>
        <w:t xml:space="preserve">he proposal </w:t>
      </w:r>
      <w:r w:rsidR="0052525C">
        <w:rPr>
          <w:noProof/>
          <w:lang w:eastAsia="en-GB"/>
        </w:rPr>
        <w:t xml:space="preserve">by the ruling majority </w:t>
      </w:r>
      <w:r w:rsidR="0052525C" w:rsidRPr="0052525C">
        <w:rPr>
          <w:noProof/>
          <w:lang w:eastAsia="en-GB"/>
        </w:rPr>
        <w:t>was formally submitted to Parliament</w:t>
      </w:r>
      <w:r w:rsidR="00E56DB0">
        <w:rPr>
          <w:rStyle w:val="FootnoteReference"/>
          <w:noProof/>
          <w:lang w:eastAsia="en-GB"/>
        </w:rPr>
        <w:footnoteReference w:id="150"/>
      </w:r>
      <w:r w:rsidR="0052525C" w:rsidRPr="0052525C">
        <w:rPr>
          <w:noProof/>
          <w:lang w:eastAsia="en-GB"/>
        </w:rPr>
        <w:t xml:space="preserve">, followed by the establishment of a cross-party </w:t>
      </w:r>
      <w:r w:rsidR="0052525C">
        <w:rPr>
          <w:noProof/>
          <w:lang w:eastAsia="en-GB"/>
        </w:rPr>
        <w:t>c</w:t>
      </w:r>
      <w:r w:rsidR="0052525C" w:rsidRPr="0052525C">
        <w:rPr>
          <w:noProof/>
          <w:lang w:eastAsia="en-GB"/>
        </w:rPr>
        <w:t xml:space="preserve">onstitutional </w:t>
      </w:r>
      <w:r w:rsidR="0052525C">
        <w:rPr>
          <w:noProof/>
          <w:lang w:eastAsia="en-GB"/>
        </w:rPr>
        <w:t>r</w:t>
      </w:r>
      <w:r w:rsidR="0052525C" w:rsidRPr="0052525C">
        <w:rPr>
          <w:noProof/>
          <w:lang w:eastAsia="en-GB"/>
        </w:rPr>
        <w:t xml:space="preserve">evision </w:t>
      </w:r>
      <w:r w:rsidR="0052525C">
        <w:rPr>
          <w:noProof/>
          <w:lang w:eastAsia="en-GB"/>
        </w:rPr>
        <w:t>c</w:t>
      </w:r>
      <w:r w:rsidR="0052525C" w:rsidRPr="0052525C">
        <w:rPr>
          <w:noProof/>
          <w:lang w:eastAsia="en-GB"/>
        </w:rPr>
        <w:t>ommittee, tasked with examining the proposed amendments within a two-month deadline</w:t>
      </w:r>
      <w:r w:rsidR="00236562">
        <w:rPr>
          <w:rStyle w:val="FootnoteReference"/>
          <w:noProof/>
          <w:lang w:eastAsia="en-GB"/>
        </w:rPr>
        <w:footnoteReference w:id="151"/>
      </w:r>
      <w:r w:rsidR="0052525C" w:rsidRPr="0052525C">
        <w:rPr>
          <w:noProof/>
          <w:lang w:eastAsia="en-GB"/>
        </w:rPr>
        <w:t>.</w:t>
      </w:r>
      <w:r w:rsidR="008472B0" w:rsidRPr="00113E08">
        <w:rPr>
          <w:noProof/>
        </w:rPr>
        <w:t xml:space="preserve"> </w:t>
      </w:r>
      <w:r w:rsidR="00705926" w:rsidRPr="005D2DE2">
        <w:rPr>
          <w:noProof/>
        </w:rPr>
        <w:t xml:space="preserve">The proposal </w:t>
      </w:r>
      <w:r w:rsidR="000F0FA5" w:rsidRPr="005D2DE2">
        <w:rPr>
          <w:noProof/>
          <w:lang w:val="en-US"/>
        </w:rPr>
        <w:t>consists of</w:t>
      </w:r>
      <w:r w:rsidR="00705926" w:rsidRPr="005D2DE2">
        <w:rPr>
          <w:noProof/>
          <w:lang w:val="en-US"/>
        </w:rPr>
        <w:t xml:space="preserve"> a package of reforms covering approximately 30 constitutional provisions, with the overarching objective of strengthening democratic institutions, the rule of law, and the effectiveness of public governance.</w:t>
      </w:r>
      <w:r w:rsidR="00332BBD">
        <w:rPr>
          <w:noProof/>
          <w:lang w:val="en-US"/>
        </w:rPr>
        <w:t xml:space="preserve"> Core issues under discussion </w:t>
      </w:r>
      <w:r w:rsidR="00947725">
        <w:rPr>
          <w:noProof/>
          <w:lang w:val="en-US"/>
        </w:rPr>
        <w:t>include</w:t>
      </w:r>
      <w:r w:rsidR="00BD4428">
        <w:rPr>
          <w:noProof/>
          <w:lang w:val="en-US"/>
        </w:rPr>
        <w:t xml:space="preserve"> </w:t>
      </w:r>
      <w:r w:rsidR="00BD4428" w:rsidRPr="2AA0F588">
        <w:rPr>
          <w:noProof/>
          <w:lang w:val="en-GB" w:eastAsia="en-GB"/>
        </w:rPr>
        <w:t xml:space="preserve">judicial independence, </w:t>
      </w:r>
      <w:r w:rsidR="00EA59BA" w:rsidRPr="2AA0F588">
        <w:rPr>
          <w:noProof/>
          <w:lang w:val="en-GB" w:eastAsia="en-GB"/>
        </w:rPr>
        <w:t xml:space="preserve">the </w:t>
      </w:r>
      <w:r w:rsidR="00BD4428" w:rsidRPr="2AA0F588">
        <w:rPr>
          <w:noProof/>
          <w:lang w:val="en-GB" w:eastAsia="en-GB"/>
        </w:rPr>
        <w:t>protection of journalists</w:t>
      </w:r>
      <w:r w:rsidR="00EA59BA" w:rsidRPr="2AA0F588">
        <w:rPr>
          <w:noProof/>
          <w:lang w:val="en-GB" w:eastAsia="en-GB"/>
        </w:rPr>
        <w:t xml:space="preserve">, the regime for </w:t>
      </w:r>
      <w:r w:rsidR="00EA59BA" w:rsidRPr="2AA0F588">
        <w:rPr>
          <w:noProof/>
          <w:lang w:val="en-US" w:eastAsia="en-GB"/>
        </w:rPr>
        <w:t>the prosecution of members of the Government</w:t>
      </w:r>
      <w:r w:rsidR="00BD4428" w:rsidRPr="2AA0F588">
        <w:rPr>
          <w:noProof/>
          <w:lang w:val="en-GB" w:eastAsia="en-GB"/>
        </w:rPr>
        <w:t xml:space="preserve"> and </w:t>
      </w:r>
      <w:r w:rsidR="004231C3" w:rsidRPr="2AA0F588">
        <w:rPr>
          <w:noProof/>
          <w:lang w:val="en-GB" w:eastAsia="en-GB"/>
        </w:rPr>
        <w:t xml:space="preserve">the </w:t>
      </w:r>
      <w:r w:rsidR="00CB698C" w:rsidRPr="2AA0F588">
        <w:rPr>
          <w:noProof/>
          <w:lang w:val="en-GB" w:eastAsia="en-GB"/>
        </w:rPr>
        <w:t xml:space="preserve">principles of </w:t>
      </w:r>
      <w:r w:rsidR="00BD4428" w:rsidRPr="2AA0F588">
        <w:rPr>
          <w:noProof/>
          <w:lang w:val="en-GB" w:eastAsia="en-GB"/>
        </w:rPr>
        <w:t>better regulation</w:t>
      </w:r>
      <w:r w:rsidR="00BB02DB" w:rsidRPr="2AA0F588">
        <w:rPr>
          <w:noProof/>
          <w:lang w:val="en-GB" w:eastAsia="en-GB"/>
        </w:rPr>
        <w:t>.</w:t>
      </w:r>
      <w:r w:rsidR="00113E08" w:rsidRPr="00113E08">
        <w:rPr>
          <w:noProof/>
        </w:rPr>
        <w:t xml:space="preserve"> </w:t>
      </w:r>
      <w:r w:rsidR="00113E08" w:rsidRPr="00113E08">
        <w:rPr>
          <w:noProof/>
          <w:lang w:eastAsia="en-GB"/>
        </w:rPr>
        <w:t>The</w:t>
      </w:r>
      <w:r w:rsidR="0047554A">
        <w:rPr>
          <w:noProof/>
          <w:lang w:eastAsia="en-GB"/>
        </w:rPr>
        <w:t xml:space="preserve"> final</w:t>
      </w:r>
      <w:r w:rsidR="00113E08" w:rsidRPr="00113E08">
        <w:rPr>
          <w:noProof/>
          <w:lang w:eastAsia="en-GB"/>
        </w:rPr>
        <w:t xml:space="preserve"> </w:t>
      </w:r>
      <w:r w:rsidR="3742C50E" w:rsidRPr="2AA0F588">
        <w:rPr>
          <w:noProof/>
          <w:lang w:eastAsia="en-GB"/>
        </w:rPr>
        <w:t xml:space="preserve">vote </w:t>
      </w:r>
      <w:r w:rsidR="03609EED" w:rsidRPr="14EA24D5">
        <w:rPr>
          <w:noProof/>
          <w:lang w:eastAsia="en-GB"/>
        </w:rPr>
        <w:t xml:space="preserve">on </w:t>
      </w:r>
      <w:r w:rsidR="00113E08" w:rsidRPr="00113E08">
        <w:rPr>
          <w:noProof/>
          <w:lang w:eastAsia="en-GB"/>
        </w:rPr>
        <w:t>the constitutional amendments fall</w:t>
      </w:r>
      <w:r w:rsidR="0047554A">
        <w:rPr>
          <w:noProof/>
          <w:lang w:eastAsia="en-GB"/>
        </w:rPr>
        <w:t>s</w:t>
      </w:r>
      <w:r w:rsidR="00113E08" w:rsidRPr="00113E08">
        <w:rPr>
          <w:noProof/>
          <w:lang w:eastAsia="en-GB"/>
        </w:rPr>
        <w:t xml:space="preserve"> </w:t>
      </w:r>
      <w:r w:rsidR="00C02677">
        <w:rPr>
          <w:noProof/>
          <w:lang w:eastAsia="en-GB"/>
        </w:rPr>
        <w:t>with</w:t>
      </w:r>
      <w:r w:rsidR="00113E08" w:rsidRPr="00113E08">
        <w:rPr>
          <w:noProof/>
          <w:lang w:eastAsia="en-GB"/>
        </w:rPr>
        <w:t xml:space="preserve"> the next Parliament</w:t>
      </w:r>
      <w:r w:rsidR="00E82A42">
        <w:rPr>
          <w:rStyle w:val="FootnoteReference"/>
          <w:noProof/>
          <w:lang w:eastAsia="en-GB"/>
        </w:rPr>
        <w:footnoteReference w:id="152"/>
      </w:r>
      <w:r w:rsidR="00113E08" w:rsidRPr="00113E08">
        <w:rPr>
          <w:noProof/>
          <w:lang w:eastAsia="en-GB"/>
        </w:rPr>
        <w:t>.</w:t>
      </w:r>
    </w:p>
    <w:p w14:paraId="367A4587" w14:textId="37E6FA2A" w:rsidR="00E51455" w:rsidRPr="000275CD" w:rsidRDefault="00E51455" w:rsidP="00E51455">
      <w:pPr>
        <w:rPr>
          <w:noProof/>
          <w:lang w:eastAsia="fr-FR"/>
        </w:rPr>
      </w:pPr>
      <w:r w:rsidRPr="2164842A">
        <w:rPr>
          <w:b/>
          <w:noProof/>
          <w:lang w:eastAsia="en-GB"/>
        </w:rPr>
        <w:t>The quality of the legislative process shows improvements, yet challenges persist, including the frequent legislative changes</w:t>
      </w:r>
      <w:r w:rsidRPr="2164842A">
        <w:rPr>
          <w:b/>
          <w:noProof/>
          <w:lang w:eastAsia="fr-FR"/>
        </w:rPr>
        <w:t xml:space="preserve">. </w:t>
      </w:r>
      <w:r w:rsidRPr="2164842A">
        <w:rPr>
          <w:noProof/>
          <w:lang w:eastAsia="fr-FR"/>
        </w:rPr>
        <w:t>All draft laws in the reporting period were adopted through the ordinary legislative procedure without recourse to expedited procedures. Public consultation for draft laws was systematically conducted within the statutory two-week period</w:t>
      </w:r>
      <w:r w:rsidRPr="2164842A">
        <w:rPr>
          <w:noProof/>
          <w:vertAlign w:val="superscript"/>
          <w:lang w:eastAsia="fr-FR"/>
        </w:rPr>
        <w:footnoteReference w:id="153"/>
      </w:r>
      <w:r w:rsidRPr="2164842A">
        <w:rPr>
          <w:noProof/>
          <w:lang w:eastAsia="fr-FR"/>
        </w:rPr>
        <w:t>. The percentage of additional provisions included in the final text of legislation without prior public consultation continued to decrease in 2025</w:t>
      </w:r>
      <w:r w:rsidRPr="2164842A">
        <w:rPr>
          <w:noProof/>
          <w:vertAlign w:val="superscript"/>
          <w:lang w:eastAsia="fr-FR"/>
        </w:rPr>
        <w:footnoteReference w:id="154"/>
      </w:r>
      <w:r w:rsidRPr="2164842A">
        <w:rPr>
          <w:noProof/>
          <w:lang w:eastAsia="fr-FR"/>
        </w:rPr>
        <w:t>. At the same time, additional provisions are still being introduced in Parliament as amendments on the day before the Plenary vote and are often unrelated to the subject matter of the law</w:t>
      </w:r>
      <w:r w:rsidRPr="2164842A">
        <w:rPr>
          <w:noProof/>
          <w:vertAlign w:val="superscript"/>
          <w:lang w:eastAsia="fr-FR"/>
        </w:rPr>
        <w:footnoteReference w:id="155"/>
      </w:r>
      <w:r w:rsidRPr="2164842A">
        <w:rPr>
          <w:noProof/>
          <w:lang w:eastAsia="fr-FR"/>
        </w:rPr>
        <w:t>. While regulatory impact assessments (RIAs) are systematically carried out for primary legislation, their analysis focuses predominantly on fiscal aspects</w:t>
      </w:r>
      <w:r w:rsidRPr="2164842A">
        <w:rPr>
          <w:noProof/>
          <w:vertAlign w:val="superscript"/>
          <w:lang w:eastAsia="fr-FR"/>
        </w:rPr>
        <w:footnoteReference w:id="156"/>
      </w:r>
      <w:r w:rsidRPr="2164842A">
        <w:rPr>
          <w:noProof/>
          <w:lang w:eastAsia="fr-FR"/>
        </w:rPr>
        <w:t>. The OECD and national stakeholders consider that RIAs do not adequately assess the potential costs and benefits for businesses and citizens, do not provide sufficiently clear guidance on implementation, and that this contributes to frequent post-adoption amendments</w:t>
      </w:r>
      <w:r w:rsidRPr="2164842A">
        <w:rPr>
          <w:noProof/>
          <w:vertAlign w:val="superscript"/>
          <w:lang w:eastAsia="fr-FR"/>
        </w:rPr>
        <w:footnoteReference w:id="157"/>
      </w:r>
      <w:r w:rsidRPr="2164842A">
        <w:rPr>
          <w:noProof/>
          <w:lang w:eastAsia="fr-FR"/>
        </w:rPr>
        <w:t>. The Economic and Social Council noted that for certain draft laws, public consultations were launched without accompanying RIAs, arguing that this hinders the proper and timely assessment of proposed measures</w:t>
      </w:r>
      <w:r w:rsidRPr="2164842A">
        <w:rPr>
          <w:noProof/>
          <w:vertAlign w:val="superscript"/>
          <w:lang w:eastAsia="fr-FR"/>
        </w:rPr>
        <w:footnoteReference w:id="158"/>
      </w:r>
      <w:r w:rsidRPr="2164842A">
        <w:rPr>
          <w:noProof/>
          <w:lang w:eastAsia="fr-FR"/>
        </w:rPr>
        <w:t>. Stakeholders, including independent authorities, justice professionals, and business representatives, continue to stress the need for early engagement of interested parties in the law-making process</w:t>
      </w:r>
      <w:r w:rsidRPr="2164842A">
        <w:rPr>
          <w:noProof/>
          <w:vertAlign w:val="superscript"/>
          <w:lang w:eastAsia="fr-FR"/>
        </w:rPr>
        <w:footnoteReference w:id="159"/>
      </w:r>
      <w:r w:rsidRPr="2164842A">
        <w:rPr>
          <w:noProof/>
          <w:lang w:eastAsia="fr-FR"/>
        </w:rPr>
        <w:t>. Efforts to promote the systematic codification of legislation are ongoing</w:t>
      </w:r>
      <w:r w:rsidRPr="2164842A">
        <w:rPr>
          <w:noProof/>
          <w:vertAlign w:val="superscript"/>
          <w:lang w:eastAsia="fr-FR"/>
        </w:rPr>
        <w:footnoteReference w:id="160"/>
      </w:r>
      <w:r w:rsidRPr="2164842A">
        <w:rPr>
          <w:noProof/>
          <w:lang w:eastAsia="fr-FR"/>
        </w:rPr>
        <w:t>. However, the quality of legislation is adversely affected by the frequent legislative changes, often within very short time frames from enactment or prior amendment</w:t>
      </w:r>
      <w:r w:rsidRPr="2164842A">
        <w:rPr>
          <w:noProof/>
          <w:vertAlign w:val="superscript"/>
          <w:lang w:eastAsia="fr-FR"/>
        </w:rPr>
        <w:footnoteReference w:id="161"/>
      </w:r>
      <w:r w:rsidRPr="2164842A">
        <w:rPr>
          <w:noProof/>
          <w:lang w:eastAsia="fr-FR"/>
        </w:rPr>
        <w:t>. Fast-changing legislation is frequently quoted as a key challenge for doing business in the country and is the main reason for companies’ lack of confidence in investment protection</w:t>
      </w:r>
      <w:r w:rsidRPr="2164842A">
        <w:rPr>
          <w:noProof/>
          <w:vertAlign w:val="superscript"/>
          <w:lang w:eastAsia="fr-FR"/>
        </w:rPr>
        <w:footnoteReference w:id="162"/>
      </w:r>
      <w:r w:rsidRPr="2164842A">
        <w:rPr>
          <w:noProof/>
          <w:lang w:eastAsia="fr-FR"/>
        </w:rPr>
        <w:t>. Judges, lawyers and notaries have also expressed concerns about consecutive changes in legislation, particularly procedural rules, as they affect legal certainty and undermine the stability, clarity and consistency of the legal framework</w:t>
      </w:r>
      <w:r w:rsidRPr="2164842A">
        <w:rPr>
          <w:noProof/>
          <w:vertAlign w:val="superscript"/>
          <w:lang w:eastAsia="fr-FR"/>
        </w:rPr>
        <w:footnoteReference w:id="163"/>
      </w:r>
      <w:r w:rsidRPr="2164842A">
        <w:rPr>
          <w:noProof/>
          <w:lang w:eastAsia="fr-FR"/>
        </w:rPr>
        <w:t xml:space="preserve">. </w:t>
      </w:r>
      <w:r w:rsidR="00B858B6">
        <w:rPr>
          <w:noProof/>
          <w:lang w:eastAsia="fr-FR"/>
        </w:rPr>
        <w:t>D</w:t>
      </w:r>
      <w:r w:rsidRPr="2164842A">
        <w:rPr>
          <w:noProof/>
          <w:lang w:eastAsia="fr-FR"/>
        </w:rPr>
        <w:t xml:space="preserve">elays </w:t>
      </w:r>
      <w:r w:rsidR="00B858B6">
        <w:rPr>
          <w:noProof/>
          <w:lang w:eastAsia="fr-FR"/>
        </w:rPr>
        <w:t xml:space="preserve">remain </w:t>
      </w:r>
      <w:r w:rsidRPr="2164842A">
        <w:rPr>
          <w:noProof/>
          <w:lang w:eastAsia="fr-FR"/>
        </w:rPr>
        <w:t>in making available to the public the National Codification Portal, a database designed to provide free, consolidated, and up-to-date access to legislation</w:t>
      </w:r>
      <w:r w:rsidRPr="2164842A">
        <w:rPr>
          <w:noProof/>
          <w:vertAlign w:val="superscript"/>
          <w:lang w:eastAsia="fr-FR"/>
        </w:rPr>
        <w:footnoteReference w:id="164"/>
      </w:r>
      <w:r w:rsidRPr="2164842A">
        <w:rPr>
          <w:noProof/>
          <w:lang w:eastAsia="fr-FR"/>
        </w:rPr>
        <w:t xml:space="preserve">. </w:t>
      </w:r>
      <w:r w:rsidR="00084946" w:rsidRPr="00084946">
        <w:rPr>
          <w:noProof/>
          <w:lang w:eastAsia="fr-FR"/>
        </w:rPr>
        <w:t>A proposal to include the principles of good legislation, including public consultation and ex post evaluation</w:t>
      </w:r>
      <w:r w:rsidR="00084946">
        <w:rPr>
          <w:noProof/>
          <w:lang w:eastAsia="fr-FR"/>
        </w:rPr>
        <w:t>, in the Constitution</w:t>
      </w:r>
      <w:r w:rsidR="00084946" w:rsidRPr="00084946">
        <w:rPr>
          <w:noProof/>
          <w:lang w:eastAsia="fr-FR"/>
        </w:rPr>
        <w:t xml:space="preserve"> has been submitted in the context of the ongoing constitutional revision</w:t>
      </w:r>
      <w:r w:rsidR="00084946">
        <w:rPr>
          <w:rStyle w:val="FootnoteReference"/>
          <w:noProof/>
          <w:lang w:eastAsia="fr-FR"/>
        </w:rPr>
        <w:footnoteReference w:id="165"/>
      </w:r>
      <w:r w:rsidR="00084946" w:rsidRPr="00084946">
        <w:rPr>
          <w:noProof/>
          <w:lang w:eastAsia="fr-FR"/>
        </w:rPr>
        <w:t xml:space="preserve">. </w:t>
      </w:r>
      <w:r w:rsidRPr="2164842A">
        <w:rPr>
          <w:noProof/>
          <w:lang w:eastAsia="fr-FR"/>
        </w:rPr>
        <w:t xml:space="preserve"> </w:t>
      </w:r>
    </w:p>
    <w:p w14:paraId="0BCA2DFA" w14:textId="4FB510F5" w:rsidR="00E51455" w:rsidRPr="000275CD" w:rsidRDefault="00E51455" w:rsidP="00E51455">
      <w:pPr>
        <w:rPr>
          <w:rFonts w:eastAsia="Calibri"/>
          <w:noProof/>
          <w:lang w:eastAsia="en-US"/>
          <w14:ligatures w14:val="standardContextual"/>
        </w:rPr>
      </w:pPr>
      <w:r w:rsidRPr="5515FAF8">
        <w:rPr>
          <w:b/>
          <w:noProof/>
          <w:lang w:eastAsia="fr-FR"/>
        </w:rPr>
        <w:t xml:space="preserve">Less than a third of companies surveyed in Greece express confidence in the effectiveness of investment protection. </w:t>
      </w:r>
      <w:r w:rsidRPr="5515FAF8">
        <w:rPr>
          <w:rFonts w:eastAsia="Calibri"/>
          <w:noProof/>
          <w:lang w:eastAsia="en-US"/>
        </w:rPr>
        <w:t>25% of companies are very or fairly confident that investments are protected by law and courts, a figure which has slightly decreased in comparison with 2025 (28%). One of the main reasons among companies for their lack of confidence is concerns about quality, efficiency or independence of justice (38%). As regards authorities relevant for economic operators, 24% of companies perceive the level of independence of the national competition authority as very or fairly good, a figure which has significantly decreased in comparison with 2025 (41%)</w:t>
      </w:r>
      <w:r w:rsidRPr="5515FAF8">
        <w:rPr>
          <w:rFonts w:eastAsia="Calibri"/>
          <w:noProof/>
          <w:vertAlign w:val="superscript"/>
          <w:lang w:eastAsia="en-US"/>
        </w:rPr>
        <w:footnoteReference w:id="166"/>
      </w:r>
      <w:r w:rsidRPr="5515FAF8">
        <w:rPr>
          <w:rFonts w:eastAsia="Calibri"/>
          <w:noProof/>
          <w:lang w:eastAsia="en-US"/>
        </w:rPr>
        <w:t xml:space="preserve">. </w:t>
      </w:r>
      <w:r w:rsidRPr="5515FAF8">
        <w:rPr>
          <w:rFonts w:eastAsia="Calibri"/>
          <w:noProof/>
          <w:lang w:eastAsia="en-US"/>
          <w14:ligatures w14:val="standardContextual"/>
        </w:rPr>
        <w:t xml:space="preserve">The Council of State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the consolidation of multiple appeals </w:t>
      </w:r>
      <w:r w:rsidRPr="5515FAF8">
        <w:rPr>
          <w:rFonts w:eastAsia="Calibri"/>
          <w:noProof/>
          <w:vertAlign w:val="superscript"/>
          <w:lang w:eastAsia="en-US"/>
          <w14:ligatures w14:val="standardContextual"/>
        </w:rPr>
        <w:footnoteReference w:id="167"/>
      </w:r>
      <w:r w:rsidRPr="5515FAF8">
        <w:rPr>
          <w:rFonts w:eastAsia="Calibri"/>
          <w:noProof/>
          <w:lang w:eastAsia="en-US"/>
          <w14:ligatures w14:val="standardContextual"/>
        </w:rPr>
        <w:t>.</w:t>
      </w:r>
    </w:p>
    <w:p w14:paraId="665292CE" w14:textId="77777777" w:rsidR="00E51455" w:rsidRPr="000275CD" w:rsidRDefault="00E51455" w:rsidP="00E51455">
      <w:pPr>
        <w:rPr>
          <w:b/>
          <w:noProof/>
          <w:szCs w:val="22"/>
          <w:lang w:eastAsia="fr-FR"/>
        </w:rPr>
      </w:pPr>
      <w:r w:rsidRPr="000275CD">
        <w:rPr>
          <w:b/>
          <w:noProof/>
          <w:szCs w:val="22"/>
          <w:lang w:eastAsia="fr-FR"/>
        </w:rPr>
        <w:t>Reforms seek to target the administration’s delays in enforcing final judgments</w:t>
      </w:r>
      <w:r w:rsidRPr="000275CD">
        <w:rPr>
          <w:rFonts w:cstheme="minorBidi"/>
          <w:b/>
          <w:noProof/>
          <w:szCs w:val="22"/>
          <w:lang w:eastAsia="fr-FR"/>
        </w:rPr>
        <w:t>.</w:t>
      </w:r>
      <w:r w:rsidRPr="000275CD">
        <w:rPr>
          <w:noProof/>
          <w:szCs w:val="22"/>
          <w:lang w:eastAsia="fr-FR"/>
        </w:rPr>
        <w:t xml:space="preserve"> The current remedy before the three-member compliance committees</w:t>
      </w:r>
      <w:r w:rsidRPr="000275CD">
        <w:rPr>
          <w:noProof/>
          <w:szCs w:val="22"/>
          <w:vertAlign w:val="superscript"/>
          <w:lang w:eastAsia="fr-FR"/>
        </w:rPr>
        <w:footnoteReference w:id="168"/>
      </w:r>
      <w:r w:rsidRPr="000275CD">
        <w:rPr>
          <w:noProof/>
          <w:szCs w:val="22"/>
          <w:lang w:eastAsia="fr-FR"/>
        </w:rPr>
        <w:t xml:space="preserve"> was considered ineffective by the European Court of Human Rights, as it lacks mechanisms to expedite execution when authorities refuse to comply with final judgments</w:t>
      </w:r>
      <w:r w:rsidRPr="000275CD">
        <w:rPr>
          <w:noProof/>
          <w:szCs w:val="22"/>
          <w:vertAlign w:val="superscript"/>
          <w:lang w:eastAsia="fr-FR"/>
        </w:rPr>
        <w:footnoteReference w:id="169"/>
      </w:r>
      <w:r w:rsidRPr="000275CD">
        <w:rPr>
          <w:noProof/>
          <w:szCs w:val="22"/>
          <w:lang w:eastAsia="fr-FR"/>
        </w:rPr>
        <w:t>. In response, the Government has prepared draft legislation to reform the procedure. Key elements include the participation of the administration in the proceedings before the compliance committee, binding decisions specifying the required actions and the responsible bodies, daily penalties for non-compliance and interim measures until full enforcement. An internal monitoring mechanism was also established in April 2026 tasking internal audit units with tracking implementation, identifying systemic failures, and triggering disciplinary proceedings</w:t>
      </w:r>
      <w:r w:rsidRPr="000275CD">
        <w:rPr>
          <w:noProof/>
          <w:szCs w:val="22"/>
          <w:vertAlign w:val="superscript"/>
          <w:lang w:eastAsia="fr-FR"/>
        </w:rPr>
        <w:footnoteReference w:id="170"/>
      </w:r>
      <w:r w:rsidRPr="000275CD">
        <w:rPr>
          <w:noProof/>
          <w:szCs w:val="22"/>
          <w:lang w:eastAsia="fr-FR"/>
        </w:rPr>
        <w:t xml:space="preserve">. </w:t>
      </w:r>
    </w:p>
    <w:p w14:paraId="08D6D184" w14:textId="6F0024ED" w:rsidR="00E51455" w:rsidRPr="000275CD" w:rsidRDefault="00E51455" w:rsidP="00E51455">
      <w:pPr>
        <w:rPr>
          <w:noProof/>
          <w:szCs w:val="22"/>
          <w:lang w:eastAsia="fr-FR"/>
        </w:rPr>
      </w:pPr>
      <w:r w:rsidRPr="000275CD">
        <w:rPr>
          <w:b/>
          <w:noProof/>
          <w:szCs w:val="22"/>
          <w:lang w:eastAsia="fr-FR"/>
        </w:rPr>
        <w:t xml:space="preserve">The immunity regime for members of Government </w:t>
      </w:r>
      <w:r w:rsidRPr="005A7C54">
        <w:rPr>
          <w:b/>
          <w:noProof/>
          <w:szCs w:val="22"/>
          <w:lang w:eastAsia="fr-FR"/>
        </w:rPr>
        <w:t xml:space="preserve">remains </w:t>
      </w:r>
      <w:r w:rsidR="000E2831" w:rsidRPr="005A7C54">
        <w:rPr>
          <w:b/>
          <w:noProof/>
          <w:szCs w:val="22"/>
          <w:lang w:eastAsia="fr-FR"/>
        </w:rPr>
        <w:t>debated</w:t>
      </w:r>
      <w:r w:rsidRPr="000275CD">
        <w:rPr>
          <w:b/>
          <w:noProof/>
          <w:szCs w:val="22"/>
          <w:lang w:eastAsia="fr-FR"/>
        </w:rPr>
        <w:t xml:space="preserve">, with </w:t>
      </w:r>
      <w:r w:rsidR="003B6568">
        <w:rPr>
          <w:b/>
          <w:noProof/>
          <w:szCs w:val="22"/>
          <w:lang w:eastAsia="fr-FR"/>
        </w:rPr>
        <w:t xml:space="preserve">broad </w:t>
      </w:r>
      <w:r w:rsidRPr="000275CD">
        <w:rPr>
          <w:b/>
          <w:noProof/>
          <w:szCs w:val="22"/>
          <w:lang w:eastAsia="fr-FR"/>
        </w:rPr>
        <w:t xml:space="preserve">agreement on the need for reform. </w:t>
      </w:r>
      <w:r w:rsidRPr="000275CD">
        <w:rPr>
          <w:noProof/>
          <w:szCs w:val="22"/>
          <w:lang w:eastAsia="fr-FR"/>
        </w:rPr>
        <w:t xml:space="preserve">Under the Constitution, the power to investigate and prosecute former or </w:t>
      </w:r>
      <w:r w:rsidRPr="00554680">
        <w:rPr>
          <w:noProof/>
          <w:szCs w:val="22"/>
          <w:lang w:eastAsia="fr-FR"/>
        </w:rPr>
        <w:t xml:space="preserve">incumbent ministers rests solely with Parliament, effectively excluding such cases from the mandate of criminal justice authorities. </w:t>
      </w:r>
      <w:r w:rsidR="0079090C" w:rsidRPr="00554680">
        <w:rPr>
          <w:noProof/>
          <w:szCs w:val="22"/>
          <w:lang w:eastAsia="fr-FR"/>
        </w:rPr>
        <w:t xml:space="preserve">Following </w:t>
      </w:r>
      <w:r w:rsidR="00E967C8" w:rsidRPr="00554680">
        <w:rPr>
          <w:noProof/>
          <w:szCs w:val="22"/>
          <w:lang w:eastAsia="fr-FR"/>
        </w:rPr>
        <w:t>the</w:t>
      </w:r>
      <w:r w:rsidR="0079090C" w:rsidRPr="00554680">
        <w:rPr>
          <w:noProof/>
          <w:szCs w:val="22"/>
          <w:lang w:eastAsia="fr-FR"/>
        </w:rPr>
        <w:t xml:space="preserve"> </w:t>
      </w:r>
      <w:r w:rsidR="002E68E0" w:rsidRPr="00554680">
        <w:rPr>
          <w:noProof/>
          <w:szCs w:val="22"/>
          <w:lang w:eastAsia="fr-FR"/>
        </w:rPr>
        <w:t>re</w:t>
      </w:r>
      <w:r w:rsidR="00FA1577" w:rsidRPr="00554680">
        <w:rPr>
          <w:noProof/>
          <w:szCs w:val="22"/>
          <w:lang w:eastAsia="fr-FR"/>
        </w:rPr>
        <w:t>form</w:t>
      </w:r>
      <w:r w:rsidR="00A030A3" w:rsidRPr="00554680">
        <w:rPr>
          <w:noProof/>
          <w:szCs w:val="22"/>
          <w:lang w:eastAsia="fr-FR"/>
        </w:rPr>
        <w:t xml:space="preserve"> during the</w:t>
      </w:r>
      <w:r w:rsidR="00E94EC5" w:rsidRPr="00554680">
        <w:rPr>
          <w:noProof/>
          <w:szCs w:val="22"/>
          <w:lang w:eastAsia="fr-FR"/>
        </w:rPr>
        <w:t xml:space="preserve"> 2019</w:t>
      </w:r>
      <w:r w:rsidR="00A030A3" w:rsidRPr="00554680">
        <w:rPr>
          <w:noProof/>
          <w:szCs w:val="22"/>
          <w:lang w:eastAsia="fr-FR"/>
        </w:rPr>
        <w:t xml:space="preserve"> </w:t>
      </w:r>
      <w:r w:rsidR="00547F69" w:rsidRPr="00554680">
        <w:rPr>
          <w:noProof/>
          <w:szCs w:val="22"/>
          <w:lang w:eastAsia="fr-FR"/>
        </w:rPr>
        <w:t>constitutional revision</w:t>
      </w:r>
      <w:r w:rsidR="006A417C" w:rsidRPr="00554680">
        <w:rPr>
          <w:rStyle w:val="FootnoteReference"/>
          <w:noProof/>
          <w:szCs w:val="22"/>
          <w:lang w:eastAsia="fr-FR"/>
        </w:rPr>
        <w:footnoteReference w:id="171"/>
      </w:r>
      <w:r w:rsidR="00547F69" w:rsidRPr="00554680">
        <w:rPr>
          <w:noProof/>
          <w:szCs w:val="22"/>
          <w:lang w:eastAsia="fr-FR"/>
        </w:rPr>
        <w:t>,</w:t>
      </w:r>
      <w:r w:rsidR="00FA1577" w:rsidRPr="00554680">
        <w:rPr>
          <w:noProof/>
          <w:szCs w:val="22"/>
          <w:lang w:eastAsia="fr-FR"/>
        </w:rPr>
        <w:t xml:space="preserve"> </w:t>
      </w:r>
      <w:r w:rsidR="006A417C" w:rsidRPr="00554680">
        <w:rPr>
          <w:noProof/>
          <w:szCs w:val="22"/>
          <w:lang w:eastAsia="fr-FR"/>
        </w:rPr>
        <w:t>t</w:t>
      </w:r>
      <w:r w:rsidR="00F913B3" w:rsidRPr="00554680">
        <w:rPr>
          <w:noProof/>
          <w:szCs w:val="22"/>
          <w:lang w:eastAsia="fr-FR"/>
        </w:rPr>
        <w:t>he constitutional framework governing the criminal liability of members of Government is currently the subject of</w:t>
      </w:r>
      <w:r w:rsidR="00197755" w:rsidRPr="00554680">
        <w:rPr>
          <w:noProof/>
          <w:szCs w:val="22"/>
          <w:lang w:eastAsia="fr-FR"/>
        </w:rPr>
        <w:t xml:space="preserve"> further</w:t>
      </w:r>
      <w:r w:rsidR="00F913B3" w:rsidRPr="00554680">
        <w:rPr>
          <w:noProof/>
          <w:szCs w:val="22"/>
          <w:lang w:eastAsia="fr-FR"/>
        </w:rPr>
        <w:t xml:space="preserve"> revision proposals aimed at strengthening accountability mechanisms</w:t>
      </w:r>
      <w:r w:rsidR="00172CFA" w:rsidRPr="00554680">
        <w:rPr>
          <w:noProof/>
          <w:szCs w:val="22"/>
          <w:lang w:eastAsia="fr-FR"/>
        </w:rPr>
        <w:t>, ensur</w:t>
      </w:r>
      <w:r w:rsidR="00D01A10" w:rsidRPr="00554680">
        <w:rPr>
          <w:noProof/>
          <w:szCs w:val="22"/>
          <w:lang w:eastAsia="fr-FR"/>
        </w:rPr>
        <w:t>ing</w:t>
      </w:r>
      <w:r w:rsidR="00172CFA" w:rsidRPr="00554680">
        <w:rPr>
          <w:noProof/>
          <w:szCs w:val="22"/>
          <w:lang w:eastAsia="fr-FR"/>
        </w:rPr>
        <w:t xml:space="preserve"> equal treatment under the law and help</w:t>
      </w:r>
      <w:r w:rsidR="00D01A10" w:rsidRPr="00554680">
        <w:rPr>
          <w:noProof/>
          <w:szCs w:val="22"/>
          <w:lang w:eastAsia="fr-FR"/>
        </w:rPr>
        <w:t>ing</w:t>
      </w:r>
      <w:r w:rsidR="00172CFA" w:rsidRPr="00554680">
        <w:rPr>
          <w:noProof/>
          <w:szCs w:val="22"/>
          <w:lang w:eastAsia="fr-FR"/>
        </w:rPr>
        <w:t xml:space="preserve"> restore public trust in institutions and the justice system</w:t>
      </w:r>
      <w:r w:rsidR="00F913B3" w:rsidRPr="00554680">
        <w:rPr>
          <w:noProof/>
          <w:szCs w:val="22"/>
          <w:lang w:eastAsia="fr-FR"/>
        </w:rPr>
        <w:t xml:space="preserve">. </w:t>
      </w:r>
      <w:r w:rsidR="00B9722C" w:rsidRPr="00554680">
        <w:rPr>
          <w:noProof/>
          <w:szCs w:val="22"/>
          <w:lang w:eastAsia="fr-FR"/>
        </w:rPr>
        <w:t>Revising Article 86 of the Constitution is considered a priority</w:t>
      </w:r>
      <w:r w:rsidR="00FE329F" w:rsidRPr="00554680">
        <w:rPr>
          <w:noProof/>
          <w:szCs w:val="22"/>
          <w:lang w:eastAsia="fr-FR"/>
        </w:rPr>
        <w:t xml:space="preserve"> and</w:t>
      </w:r>
      <w:r w:rsidR="00FE329F" w:rsidRPr="005A7C54">
        <w:rPr>
          <w:noProof/>
          <w:szCs w:val="22"/>
          <w:lang w:eastAsia="fr-FR"/>
        </w:rPr>
        <w:t xml:space="preserve"> t</w:t>
      </w:r>
      <w:r w:rsidRPr="005A7C54">
        <w:rPr>
          <w:noProof/>
          <w:szCs w:val="22"/>
          <w:lang w:eastAsia="fr-FR"/>
        </w:rPr>
        <w:t>here</w:t>
      </w:r>
      <w:r w:rsidRPr="000275CD">
        <w:rPr>
          <w:noProof/>
          <w:szCs w:val="22"/>
          <w:lang w:eastAsia="fr-FR"/>
        </w:rPr>
        <w:t xml:space="preserve"> is a common understanding among stakeholders that the requirement for parliamentary approval before prosecuting ministers should be abolished</w:t>
      </w:r>
      <w:r w:rsidRPr="000275CD">
        <w:rPr>
          <w:bCs/>
          <w:noProof/>
          <w:vertAlign w:val="superscript"/>
          <w:lang w:eastAsia="fr-FR"/>
        </w:rPr>
        <w:footnoteReference w:id="172"/>
      </w:r>
      <w:r w:rsidRPr="000275CD">
        <w:rPr>
          <w:noProof/>
          <w:szCs w:val="22"/>
          <w:lang w:eastAsia="fr-FR"/>
        </w:rPr>
        <w:t xml:space="preserve">. </w:t>
      </w:r>
      <w:r w:rsidR="00D176DD" w:rsidRPr="000275CD">
        <w:rPr>
          <w:noProof/>
          <w:szCs w:val="22"/>
          <w:lang w:eastAsia="fr-FR"/>
        </w:rPr>
        <w:t xml:space="preserve">National prosecutors and the EPPO cite the existing legal framework on ministerial immunity as an institutional </w:t>
      </w:r>
      <w:r w:rsidR="00BE0983">
        <w:rPr>
          <w:noProof/>
          <w:szCs w:val="22"/>
          <w:lang w:eastAsia="fr-FR"/>
        </w:rPr>
        <w:t>challenge</w:t>
      </w:r>
      <w:r w:rsidR="00D176DD" w:rsidRPr="000275CD">
        <w:rPr>
          <w:noProof/>
          <w:szCs w:val="22"/>
          <w:lang w:eastAsia="fr-FR"/>
        </w:rPr>
        <w:t xml:space="preserve"> to their work</w:t>
      </w:r>
      <w:r w:rsidR="00D176DD" w:rsidRPr="000275CD">
        <w:rPr>
          <w:noProof/>
          <w:szCs w:val="22"/>
          <w:vertAlign w:val="superscript"/>
          <w:lang w:eastAsia="fr-FR"/>
        </w:rPr>
        <w:footnoteReference w:id="173"/>
      </w:r>
      <w:r w:rsidR="00D176DD" w:rsidRPr="000275CD">
        <w:rPr>
          <w:noProof/>
          <w:szCs w:val="22"/>
          <w:lang w:eastAsia="fr-FR"/>
        </w:rPr>
        <w:t>.</w:t>
      </w:r>
      <w:r w:rsidR="001B0A97">
        <w:rPr>
          <w:noProof/>
          <w:szCs w:val="22"/>
          <w:lang w:eastAsia="fr-FR"/>
        </w:rPr>
        <w:t xml:space="preserve"> </w:t>
      </w:r>
      <w:r w:rsidR="00F370FB" w:rsidRPr="00E84940">
        <w:rPr>
          <w:noProof/>
        </w:rPr>
        <w:t>The ruling majority has proposed to transfer the investigation of alleged offences by ministers from Parliament to the ordinary judiciary, while Parliament would retain the power to decide, by absolute majority, whether to prosecute a minister or former minister for offences committed in the exercise of official duties</w:t>
      </w:r>
      <w:r w:rsidRPr="000275CD">
        <w:rPr>
          <w:noProof/>
          <w:szCs w:val="22"/>
          <w:vertAlign w:val="superscript"/>
          <w:lang w:eastAsia="fr-FR"/>
        </w:rPr>
        <w:footnoteReference w:id="174"/>
      </w:r>
      <w:r w:rsidRPr="000275CD">
        <w:rPr>
          <w:noProof/>
          <w:szCs w:val="22"/>
          <w:lang w:eastAsia="fr-FR"/>
        </w:rPr>
        <w:t xml:space="preserve">. </w:t>
      </w:r>
    </w:p>
    <w:p w14:paraId="34305EEA" w14:textId="583CE5C3" w:rsidR="00E51455" w:rsidRPr="000275CD" w:rsidRDefault="00E51455" w:rsidP="00E51455">
      <w:pPr>
        <w:rPr>
          <w:bCs/>
          <w:noProof/>
          <w:lang w:eastAsia="fr-FR"/>
        </w:rPr>
      </w:pPr>
      <w:r w:rsidRPr="000275CD">
        <w:rPr>
          <w:b/>
          <w:noProof/>
          <w:lang w:eastAsia="fr-FR"/>
        </w:rPr>
        <w:t xml:space="preserve">Judicial scrutiny of certain aspects of the use of spyware continues. </w:t>
      </w:r>
      <w:r w:rsidRPr="2164842A">
        <w:rPr>
          <w:rFonts w:eastAsiaTheme="minorEastAsia" w:cstheme="minorBidi"/>
          <w:noProof/>
          <w:lang w:eastAsia="en-US"/>
        </w:rPr>
        <w:t>In February 2026, t</w:t>
      </w:r>
      <w:r w:rsidRPr="000275CD">
        <w:rPr>
          <w:noProof/>
          <w:lang w:eastAsia="fr-FR"/>
        </w:rPr>
        <w:t>he first instance court of Athens delivered convictions against four individuals connected to the marketing of the Predator software for misdemeanour offences, including breaches of communication privacy and unauthorised data access</w:t>
      </w:r>
      <w:r w:rsidRPr="000275CD">
        <w:rPr>
          <w:noProof/>
          <w:vertAlign w:val="superscript"/>
          <w:lang w:eastAsia="fr-FR"/>
        </w:rPr>
        <w:footnoteReference w:id="175"/>
      </w:r>
      <w:r w:rsidRPr="000275CD">
        <w:rPr>
          <w:noProof/>
          <w:lang w:eastAsia="fr-FR"/>
        </w:rPr>
        <w:t>.</w:t>
      </w:r>
      <w:r w:rsidRPr="000275CD">
        <w:rPr>
          <w:b/>
          <w:noProof/>
          <w:lang w:eastAsia="fr-FR"/>
        </w:rPr>
        <w:t xml:space="preserve"> </w:t>
      </w:r>
      <w:r w:rsidRPr="000275CD">
        <w:rPr>
          <w:bCs/>
          <w:noProof/>
          <w:lang w:eastAsia="fr-FR"/>
        </w:rPr>
        <w:t xml:space="preserve">The court also </w:t>
      </w:r>
      <w:r w:rsidR="00AB04D9">
        <w:rPr>
          <w:bCs/>
          <w:noProof/>
          <w:lang w:eastAsia="fr-FR"/>
        </w:rPr>
        <w:t>tra</w:t>
      </w:r>
      <w:r w:rsidR="00D8087E">
        <w:rPr>
          <w:bCs/>
          <w:noProof/>
          <w:lang w:eastAsia="fr-FR"/>
        </w:rPr>
        <w:t>nsmitted the records of the proceedings</w:t>
      </w:r>
      <w:r w:rsidR="00777259">
        <w:rPr>
          <w:bCs/>
          <w:noProof/>
          <w:lang w:eastAsia="fr-FR"/>
        </w:rPr>
        <w:t xml:space="preserve"> for </w:t>
      </w:r>
      <w:r w:rsidRPr="000275CD">
        <w:rPr>
          <w:bCs/>
          <w:noProof/>
          <w:lang w:eastAsia="fr-FR"/>
        </w:rPr>
        <w:t xml:space="preserve">further investigations into broader offences and </w:t>
      </w:r>
      <w:r w:rsidR="00777259">
        <w:rPr>
          <w:bCs/>
          <w:noProof/>
          <w:lang w:eastAsia="fr-FR"/>
        </w:rPr>
        <w:t xml:space="preserve">the possible involvement of </w:t>
      </w:r>
      <w:r w:rsidRPr="000275CD">
        <w:rPr>
          <w:bCs/>
          <w:noProof/>
          <w:lang w:eastAsia="fr-FR"/>
        </w:rPr>
        <w:t xml:space="preserve">additional </w:t>
      </w:r>
      <w:r w:rsidR="00777259">
        <w:rPr>
          <w:bCs/>
          <w:noProof/>
          <w:lang w:eastAsia="fr-FR"/>
        </w:rPr>
        <w:t>persons</w:t>
      </w:r>
      <w:r w:rsidRPr="000275CD">
        <w:rPr>
          <w:bCs/>
          <w:noProof/>
          <w:lang w:eastAsia="fr-FR"/>
        </w:rPr>
        <w:t>. The decision was widely welcomed by stakeholders as a step forward</w:t>
      </w:r>
      <w:r w:rsidRPr="000275CD">
        <w:rPr>
          <w:bCs/>
          <w:noProof/>
          <w:vertAlign w:val="superscript"/>
          <w:lang w:eastAsia="fr-FR"/>
        </w:rPr>
        <w:footnoteReference w:id="176"/>
      </w:r>
      <w:r w:rsidRPr="000275CD">
        <w:rPr>
          <w:bCs/>
          <w:noProof/>
          <w:lang w:eastAsia="fr-FR"/>
        </w:rPr>
        <w:t xml:space="preserve">. The defendants appealed, with the new trial scheduled for December 2026. In late April, </w:t>
      </w:r>
      <w:r w:rsidRPr="000275CD">
        <w:rPr>
          <w:noProof/>
          <w:lang w:eastAsia="fr-FR"/>
        </w:rPr>
        <w:t>the General Prosecutor of the Supreme Court, tasked with overseeing the most serious strands of the investigation, declined to reopen the case, considering that the evidence presented did not meet the threshold for new facts.</w:t>
      </w:r>
      <w:r w:rsidRPr="000275CD">
        <w:rPr>
          <w:bCs/>
          <w:noProof/>
          <w:lang w:eastAsia="fr-FR"/>
        </w:rPr>
        <w:t xml:space="preserve"> The decision sparked concerns among journalists, victims, lawyers, opposition parties and civil society, including about a possible conflict of interest due to the General Prosecutor’s previous role in overseeing the National Intelligence Service during part of the period under investigation</w:t>
      </w:r>
      <w:r w:rsidRPr="000275CD">
        <w:rPr>
          <w:bCs/>
          <w:noProof/>
          <w:vertAlign w:val="superscript"/>
          <w:lang w:eastAsia="fr-FR"/>
        </w:rPr>
        <w:footnoteReference w:id="177"/>
      </w:r>
      <w:r w:rsidRPr="000275CD">
        <w:rPr>
          <w:bCs/>
          <w:noProof/>
          <w:lang w:eastAsia="fr-FR"/>
        </w:rPr>
        <w:t>. New requests to reopen the case have been submitted and certain subsidiary investigations are still continuing by lower prosecutors.</w:t>
      </w:r>
      <w:r w:rsidRPr="000275CD">
        <w:rPr>
          <w:noProof/>
          <w:szCs w:val="24"/>
        </w:rPr>
        <w:t xml:space="preserve"> </w:t>
      </w:r>
      <w:r w:rsidRPr="000275CD">
        <w:rPr>
          <w:bCs/>
          <w:noProof/>
          <w:lang w:eastAsia="fr-FR"/>
        </w:rPr>
        <w:t>Meanwhile, separate cases before the Council of State</w:t>
      </w:r>
      <w:r w:rsidRPr="000275CD">
        <w:rPr>
          <w:bCs/>
          <w:noProof/>
          <w:vertAlign w:val="superscript"/>
          <w:lang w:eastAsia="fr-FR"/>
        </w:rPr>
        <w:footnoteReference w:id="178"/>
      </w:r>
      <w:r w:rsidRPr="000275CD">
        <w:rPr>
          <w:bCs/>
          <w:noProof/>
          <w:lang w:eastAsia="fr-FR"/>
        </w:rPr>
        <w:t xml:space="preserve"> and the European Court of Human Rights regarding transparency and state obligations remain ongoing</w:t>
      </w:r>
      <w:r w:rsidRPr="000275CD">
        <w:rPr>
          <w:bCs/>
          <w:noProof/>
          <w:vertAlign w:val="superscript"/>
          <w:lang w:eastAsia="fr-FR"/>
        </w:rPr>
        <w:footnoteReference w:id="179"/>
      </w:r>
      <w:r w:rsidRPr="000275CD">
        <w:rPr>
          <w:bCs/>
          <w:noProof/>
          <w:lang w:eastAsia="fr-FR"/>
        </w:rPr>
        <w:t>.</w:t>
      </w:r>
    </w:p>
    <w:p w14:paraId="3EB6060F" w14:textId="45B6D866" w:rsidR="00E51455" w:rsidRPr="000275CD" w:rsidRDefault="00E51455" w:rsidP="00E51455">
      <w:pPr>
        <w:rPr>
          <w:bCs/>
          <w:noProof/>
          <w:lang w:eastAsia="fr-FR"/>
        </w:rPr>
      </w:pPr>
      <w:r w:rsidRPr="000275CD">
        <w:rPr>
          <w:b/>
          <w:noProof/>
          <w:lang w:eastAsia="fr-FR"/>
        </w:rPr>
        <w:t xml:space="preserve">New staff positions have been approved for the Constitutional Independent Authorities, while their key request for an autonomous staff recruitment system remains to be addressed. </w:t>
      </w:r>
      <w:r w:rsidRPr="000275CD">
        <w:rPr>
          <w:bCs/>
          <w:noProof/>
          <w:lang w:eastAsia="fr-FR"/>
        </w:rPr>
        <w:t>Prolonged delays in appointing members of Constitutional Independent Authorities persist</w:t>
      </w:r>
      <w:r w:rsidRPr="000275CD">
        <w:rPr>
          <w:noProof/>
          <w:lang w:eastAsia="fr-FR"/>
        </w:rPr>
        <w:t xml:space="preserve"> due to lack of political consensus in the Conference of Presidents of Parliament, the competent body for their appointment</w:t>
      </w:r>
      <w:r w:rsidRPr="000275CD">
        <w:rPr>
          <w:noProof/>
          <w:vertAlign w:val="superscript"/>
          <w:lang w:eastAsia="fr-FR"/>
        </w:rPr>
        <w:footnoteReference w:id="180"/>
      </w:r>
      <w:r w:rsidRPr="000275CD">
        <w:rPr>
          <w:noProof/>
          <w:lang w:eastAsia="fr-FR"/>
        </w:rPr>
        <w:t>. While mandate extensions have ensured operational continuity in many cases, recent resignations underscore their limitations,</w:t>
      </w:r>
      <w:r w:rsidRPr="2164842A">
        <w:rPr>
          <w:rFonts w:eastAsiaTheme="minorEastAsia" w:cstheme="minorBidi"/>
          <w:noProof/>
          <w:lang w:eastAsia="en-US"/>
        </w:rPr>
        <w:t xml:space="preserve"> and the forthcoming constitutional revision invites discussion on reviewing mandate durations and/or introducing further anti-deadlock safeguards</w:t>
      </w:r>
      <w:r w:rsidRPr="000275CD">
        <w:rPr>
          <w:noProof/>
          <w:vertAlign w:val="superscript"/>
          <w:lang w:eastAsia="fr-FR"/>
        </w:rPr>
        <w:footnoteReference w:id="181"/>
      </w:r>
      <w:r w:rsidRPr="000275CD">
        <w:rPr>
          <w:noProof/>
          <w:lang w:eastAsia="fr-FR"/>
        </w:rPr>
        <w:t>. In July 2025, the Data Protection Authority (DPA) was granted the power to amend its organigram</w:t>
      </w:r>
      <w:r w:rsidRPr="000275CD">
        <w:rPr>
          <w:bCs/>
          <w:noProof/>
          <w:lang w:eastAsia="fr-FR"/>
        </w:rPr>
        <w:t>,</w:t>
      </w:r>
      <w:r w:rsidRPr="000275CD">
        <w:rPr>
          <w:noProof/>
          <w:lang w:eastAsia="fr-FR"/>
        </w:rPr>
        <w:t xml:space="preserve"> and in October 2025 the Government approved several new staff positions for the Constitutional Independent Authorities</w:t>
      </w:r>
      <w:r w:rsidRPr="000275CD">
        <w:rPr>
          <w:noProof/>
          <w:vertAlign w:val="superscript"/>
          <w:lang w:eastAsia="fr-FR"/>
        </w:rPr>
        <w:footnoteReference w:id="182"/>
      </w:r>
      <w:r w:rsidRPr="000275CD">
        <w:rPr>
          <w:noProof/>
          <w:lang w:eastAsia="fr-FR"/>
        </w:rPr>
        <w:t xml:space="preserve">. While welcoming the additional posts, the DPA and the </w:t>
      </w:r>
      <w:r w:rsidRPr="000275CD">
        <w:rPr>
          <w:bCs/>
          <w:noProof/>
          <w:lang w:eastAsia="fr-FR"/>
        </w:rPr>
        <w:t xml:space="preserve">Ombudsperson stressed that </w:t>
      </w:r>
      <w:r w:rsidRPr="000275CD">
        <w:rPr>
          <w:noProof/>
          <w:lang w:eastAsia="fr-FR"/>
        </w:rPr>
        <w:t>reliance on centralised recruitment leads to rigid, excessively long procedures, leaving even long-approved posts unfilled, as prolonged hiring procedures deter qualified candidates</w:t>
      </w:r>
      <w:r w:rsidRPr="000275CD">
        <w:rPr>
          <w:noProof/>
          <w:vertAlign w:val="superscript"/>
          <w:lang w:eastAsia="fr-FR"/>
        </w:rPr>
        <w:footnoteReference w:id="183"/>
      </w:r>
      <w:r w:rsidRPr="000275CD">
        <w:rPr>
          <w:noProof/>
          <w:lang w:eastAsia="fr-FR"/>
        </w:rPr>
        <w:t>. Their priority remains a self-managed, flexible and expedited recruitment system enabling them to recruit, allocate and prioritise staff according to their needs</w:t>
      </w:r>
      <w:r w:rsidRPr="000275CD">
        <w:rPr>
          <w:bCs/>
          <w:noProof/>
          <w:lang w:eastAsia="fr-FR"/>
        </w:rPr>
        <w:t xml:space="preserve">. </w:t>
      </w:r>
      <w:r w:rsidRPr="000275CD">
        <w:rPr>
          <w:noProof/>
          <w:lang w:eastAsia="fr-FR"/>
        </w:rPr>
        <w:t>As an equality body under EU law, the Ombudsman is also required to recruit its own staff</w:t>
      </w:r>
      <w:r w:rsidRPr="000275CD">
        <w:rPr>
          <w:noProof/>
          <w:vertAlign w:val="superscript"/>
          <w:lang w:eastAsia="fr-FR"/>
        </w:rPr>
        <w:footnoteReference w:id="184"/>
      </w:r>
      <w:r w:rsidRPr="000275CD">
        <w:rPr>
          <w:noProof/>
          <w:lang w:eastAsia="fr-FR"/>
        </w:rPr>
        <w:t>. Other independent</w:t>
      </w:r>
      <w:r w:rsidR="0092262E">
        <w:rPr>
          <w:noProof/>
          <w:lang w:eastAsia="fr-FR"/>
        </w:rPr>
        <w:t>, primarily regulatory,</w:t>
      </w:r>
      <w:r w:rsidRPr="000275CD">
        <w:rPr>
          <w:noProof/>
          <w:lang w:eastAsia="fr-FR"/>
        </w:rPr>
        <w:t xml:space="preserve"> administrative authorities already benefit from </w:t>
      </w:r>
      <w:r w:rsidR="002E554B">
        <w:rPr>
          <w:noProof/>
          <w:lang w:eastAsia="fr-FR"/>
        </w:rPr>
        <w:t>more</w:t>
      </w:r>
      <w:r w:rsidRPr="000275CD">
        <w:rPr>
          <w:noProof/>
          <w:lang w:eastAsia="fr-FR"/>
        </w:rPr>
        <w:t xml:space="preserve"> flexible processes</w:t>
      </w:r>
      <w:r w:rsidRPr="000275CD">
        <w:rPr>
          <w:noProof/>
          <w:vertAlign w:val="superscript"/>
          <w:lang w:eastAsia="fr-FR"/>
        </w:rPr>
        <w:footnoteReference w:id="185"/>
      </w:r>
      <w:r w:rsidRPr="000275CD">
        <w:rPr>
          <w:noProof/>
          <w:lang w:eastAsia="fr-FR"/>
        </w:rPr>
        <w:t xml:space="preserve">. The National Commission for Human Rights (NCHR) </w:t>
      </w:r>
      <w:r w:rsidRPr="2164842A">
        <w:rPr>
          <w:rFonts w:eastAsia="Segoe UI Semilight"/>
          <w:noProof/>
          <w:color w:val="000000" w:themeColor="text1"/>
          <w:lang w:eastAsia="en-US"/>
        </w:rPr>
        <w:t>has submitted proposals to the Government aimed at strengthening its institutional capacity, including the allocation of additional staff and the provision of enhanced operational tools, to ensure the effectiveness of its work</w:t>
      </w:r>
      <w:r w:rsidRPr="2164842A">
        <w:rPr>
          <w:rFonts w:eastAsia="Segoe UI Semilight"/>
          <w:noProof/>
          <w:color w:val="000000" w:themeColor="text1"/>
          <w:vertAlign w:val="superscript"/>
          <w:lang w:eastAsia="en-US"/>
        </w:rPr>
        <w:footnoteReference w:id="186"/>
      </w:r>
      <w:r w:rsidRPr="2164842A">
        <w:rPr>
          <w:rFonts w:eastAsia="Segoe UI Semilight"/>
          <w:noProof/>
          <w:color w:val="000000" w:themeColor="text1"/>
          <w:lang w:eastAsia="en-US"/>
        </w:rPr>
        <w:t>.</w:t>
      </w:r>
      <w:r w:rsidR="00544D8C">
        <w:rPr>
          <w:rFonts w:eastAsia="Segoe UI Semilight"/>
          <w:noProof/>
          <w:color w:val="000000" w:themeColor="text1"/>
          <w:lang w:eastAsia="en-US"/>
        </w:rPr>
        <w:t xml:space="preserve"> The </w:t>
      </w:r>
      <w:r w:rsidR="00544D8C" w:rsidRPr="00544D8C">
        <w:rPr>
          <w:rFonts w:eastAsia="Segoe UI Semilight"/>
          <w:noProof/>
          <w:color w:val="000000" w:themeColor="text1"/>
          <w:lang w:eastAsia="en-US"/>
        </w:rPr>
        <w:t>study on improving the institutional arrangements of all existing independent</w:t>
      </w:r>
      <w:r w:rsidR="00544D8C">
        <w:rPr>
          <w:rFonts w:eastAsia="Segoe UI Semilight"/>
          <w:noProof/>
          <w:color w:val="000000" w:themeColor="text1"/>
          <w:lang w:eastAsia="en-US"/>
        </w:rPr>
        <w:t xml:space="preserve"> </w:t>
      </w:r>
      <w:r w:rsidR="00544D8C" w:rsidRPr="00544D8C">
        <w:rPr>
          <w:rFonts w:eastAsia="Segoe UI Semilight"/>
          <w:noProof/>
          <w:color w:val="000000" w:themeColor="text1"/>
          <w:lang w:eastAsia="en-US"/>
        </w:rPr>
        <w:t>authorities</w:t>
      </w:r>
      <w:r w:rsidR="00947440">
        <w:rPr>
          <w:rFonts w:eastAsia="Segoe UI Semilight"/>
          <w:noProof/>
          <w:color w:val="000000" w:themeColor="text1"/>
          <w:lang w:eastAsia="en-US"/>
        </w:rPr>
        <w:t xml:space="preserve">, </w:t>
      </w:r>
      <w:r w:rsidR="00544D8C" w:rsidRPr="00544D8C">
        <w:rPr>
          <w:rFonts w:eastAsia="Segoe UI Semilight"/>
          <w:noProof/>
          <w:color w:val="000000" w:themeColor="text1"/>
          <w:lang w:eastAsia="en-US"/>
        </w:rPr>
        <w:t>carried out by the OECD and funded under the European Commission’s</w:t>
      </w:r>
      <w:r w:rsidR="00947440">
        <w:rPr>
          <w:rFonts w:eastAsia="Segoe UI Semilight"/>
          <w:noProof/>
          <w:color w:val="000000" w:themeColor="text1"/>
          <w:lang w:eastAsia="en-US"/>
        </w:rPr>
        <w:t xml:space="preserve"> </w:t>
      </w:r>
      <w:r w:rsidR="00544D8C" w:rsidRPr="00544D8C">
        <w:rPr>
          <w:rFonts w:eastAsia="Segoe UI Semilight"/>
          <w:noProof/>
          <w:color w:val="000000" w:themeColor="text1"/>
          <w:lang w:eastAsia="en-US"/>
        </w:rPr>
        <w:t>Technical Support Instrumen</w:t>
      </w:r>
      <w:r w:rsidR="00947440">
        <w:rPr>
          <w:rFonts w:eastAsia="Segoe UI Semilight"/>
          <w:noProof/>
          <w:color w:val="000000" w:themeColor="text1"/>
          <w:lang w:eastAsia="en-US"/>
        </w:rPr>
        <w:t>t</w:t>
      </w:r>
      <w:r w:rsidR="005B4C55">
        <w:rPr>
          <w:rFonts w:eastAsia="Segoe UI Semilight"/>
          <w:noProof/>
          <w:color w:val="000000" w:themeColor="text1"/>
          <w:lang w:eastAsia="en-US"/>
        </w:rPr>
        <w:t>,</w:t>
      </w:r>
      <w:r w:rsidR="00357C6A">
        <w:rPr>
          <w:rFonts w:eastAsia="Segoe UI Semilight"/>
          <w:noProof/>
          <w:color w:val="000000" w:themeColor="text1"/>
          <w:lang w:eastAsia="en-US"/>
        </w:rPr>
        <w:t xml:space="preserve"> is currently </w:t>
      </w:r>
      <w:r w:rsidR="00B43419">
        <w:rPr>
          <w:rFonts w:eastAsia="Segoe UI Semilight"/>
          <w:noProof/>
          <w:color w:val="000000" w:themeColor="text1"/>
          <w:lang w:eastAsia="en-US"/>
        </w:rPr>
        <w:t>being finalised</w:t>
      </w:r>
      <w:r w:rsidR="00357C6A">
        <w:rPr>
          <w:rStyle w:val="FootnoteReference"/>
          <w:rFonts w:eastAsia="Segoe UI Semilight"/>
          <w:noProof/>
          <w:color w:val="000000" w:themeColor="text1"/>
          <w:lang w:eastAsia="en-US"/>
        </w:rPr>
        <w:footnoteReference w:id="187"/>
      </w:r>
      <w:r w:rsidR="00357C6A">
        <w:rPr>
          <w:rFonts w:eastAsia="Segoe UI Semilight"/>
          <w:noProof/>
          <w:color w:val="000000" w:themeColor="text1"/>
          <w:lang w:eastAsia="en-US"/>
        </w:rPr>
        <w:t>.</w:t>
      </w:r>
    </w:p>
    <w:p w14:paraId="68133920" w14:textId="77777777" w:rsidR="00E51455" w:rsidRPr="000275CD" w:rsidRDefault="00E51455" w:rsidP="00E51455">
      <w:pPr>
        <w:rPr>
          <w:noProof/>
          <w:szCs w:val="22"/>
          <w:lang w:eastAsia="fr-FR"/>
        </w:rPr>
      </w:pPr>
      <w:r w:rsidRPr="000275CD">
        <w:rPr>
          <w:b/>
          <w:bCs/>
          <w:noProof/>
          <w:szCs w:val="22"/>
          <w:lang w:eastAsia="fr-FR"/>
        </w:rPr>
        <w:t>Decisions to initiate criminal proceedings for two incidents involving</w:t>
      </w:r>
      <w:r w:rsidRPr="000275CD">
        <w:rPr>
          <w:b/>
          <w:noProof/>
          <w:szCs w:val="22"/>
          <w:lang w:eastAsia="fr-FR"/>
        </w:rPr>
        <w:t xml:space="preserve"> law enforcement </w:t>
      </w:r>
      <w:r w:rsidRPr="000275CD">
        <w:rPr>
          <w:b/>
          <w:bCs/>
          <w:noProof/>
          <w:szCs w:val="22"/>
          <w:lang w:eastAsia="fr-FR"/>
        </w:rPr>
        <w:t>officers have been welcomed by stakeholders, while deficiencies remain</w:t>
      </w:r>
      <w:r w:rsidRPr="000275CD">
        <w:rPr>
          <w:b/>
          <w:noProof/>
          <w:szCs w:val="22"/>
          <w:lang w:eastAsia="fr-FR"/>
        </w:rPr>
        <w:t xml:space="preserve"> in the investigation of alleged misconduct</w:t>
      </w:r>
      <w:r w:rsidRPr="000275CD">
        <w:rPr>
          <w:b/>
          <w:bCs/>
          <w:noProof/>
          <w:szCs w:val="22"/>
          <w:lang w:eastAsia="fr-FR"/>
        </w:rPr>
        <w:t>.</w:t>
      </w:r>
      <w:r w:rsidRPr="000275CD">
        <w:rPr>
          <w:b/>
          <w:noProof/>
          <w:szCs w:val="22"/>
          <w:lang w:eastAsia="fr-FR"/>
        </w:rPr>
        <w:t xml:space="preserve"> </w:t>
      </w:r>
      <w:r w:rsidRPr="000275CD">
        <w:rPr>
          <w:bCs/>
          <w:noProof/>
          <w:szCs w:val="22"/>
          <w:lang w:eastAsia="fr-FR"/>
        </w:rPr>
        <w:t>In May 2026,</w:t>
      </w:r>
      <w:r w:rsidRPr="000275CD">
        <w:rPr>
          <w:b/>
          <w:noProof/>
          <w:szCs w:val="22"/>
          <w:lang w:eastAsia="fr-FR"/>
        </w:rPr>
        <w:t xml:space="preserve"> </w:t>
      </w:r>
      <w:r w:rsidRPr="000275CD">
        <w:rPr>
          <w:bCs/>
          <w:noProof/>
          <w:szCs w:val="22"/>
          <w:lang w:eastAsia="fr-FR"/>
        </w:rPr>
        <w:t xml:space="preserve">the Prosecutor of the Court of Appeal of Piraeus ordered the criminal prosecution of the commander of the Hellenic Coast Guard vessel involved in a fatal incident back in 2023. This followed the decision to </w:t>
      </w:r>
      <w:r w:rsidRPr="000275CD">
        <w:rPr>
          <w:noProof/>
          <w:szCs w:val="22"/>
          <w:lang w:eastAsia="fr-FR"/>
        </w:rPr>
        <w:t>expand the indictment related to the Pylos shipwreck, in November 2025, adding criminal charges against four senior officers, including the Chief of the Hellenic Coast Guard</w:t>
      </w:r>
      <w:r w:rsidRPr="000275CD">
        <w:rPr>
          <w:noProof/>
          <w:szCs w:val="22"/>
          <w:vertAlign w:val="superscript"/>
          <w:lang w:eastAsia="fr-FR"/>
        </w:rPr>
        <w:footnoteReference w:id="188"/>
      </w:r>
      <w:r w:rsidRPr="000275CD">
        <w:rPr>
          <w:noProof/>
          <w:szCs w:val="22"/>
          <w:lang w:eastAsia="fr-FR"/>
        </w:rPr>
        <w:t>. Stakeholders welcomed developments in these two cases, while raising concerns about the effectiveness of criminal investigations in other cases that were subsequently archived</w:t>
      </w:r>
      <w:r w:rsidRPr="000275CD">
        <w:rPr>
          <w:bCs/>
          <w:noProof/>
          <w:szCs w:val="22"/>
          <w:vertAlign w:val="superscript"/>
          <w:lang w:eastAsia="fr-FR"/>
        </w:rPr>
        <w:footnoteReference w:id="189"/>
      </w:r>
      <w:r w:rsidRPr="000275CD">
        <w:rPr>
          <w:noProof/>
          <w:szCs w:val="22"/>
          <w:lang w:eastAsia="fr-FR"/>
        </w:rPr>
        <w:t>. In February 2026, the Ministry of Maritime Affairs and Insular Policy launched an administrative inquiry into the Pylos shipwreck to be carried out by the Chief of the Navy</w:t>
      </w:r>
      <w:r w:rsidRPr="000275CD">
        <w:rPr>
          <w:noProof/>
          <w:szCs w:val="22"/>
          <w:vertAlign w:val="superscript"/>
          <w:lang w:eastAsia="fr-FR"/>
        </w:rPr>
        <w:footnoteReference w:id="190"/>
      </w:r>
      <w:r w:rsidRPr="000275CD">
        <w:rPr>
          <w:noProof/>
          <w:szCs w:val="22"/>
          <w:lang w:eastAsia="fr-FR"/>
        </w:rPr>
        <w:t>. Disciplinary proceedings into the incident have yet to be initiated, in line with repeated requests by the Ombudsperson</w:t>
      </w:r>
      <w:r w:rsidRPr="000275CD">
        <w:rPr>
          <w:noProof/>
          <w:szCs w:val="22"/>
          <w:vertAlign w:val="superscript"/>
          <w:lang w:eastAsia="fr-FR"/>
        </w:rPr>
        <w:footnoteReference w:id="191"/>
      </w:r>
      <w:r w:rsidRPr="000275CD">
        <w:rPr>
          <w:noProof/>
          <w:szCs w:val="22"/>
          <w:lang w:eastAsia="fr-FR"/>
        </w:rPr>
        <w:t>. In another recent case, the Ombudsperson reiterated the need for an independent, thorough and effective investigation, making concrete suggestions to this end</w:t>
      </w:r>
      <w:r w:rsidRPr="000275CD">
        <w:rPr>
          <w:noProof/>
          <w:szCs w:val="22"/>
          <w:vertAlign w:val="superscript"/>
          <w:lang w:eastAsia="fr-FR"/>
        </w:rPr>
        <w:footnoteReference w:id="192"/>
      </w:r>
      <w:r w:rsidRPr="000275CD">
        <w:rPr>
          <w:noProof/>
          <w:szCs w:val="22"/>
          <w:lang w:eastAsia="fr-FR"/>
        </w:rPr>
        <w:t>. More broadly, the Ombudsperson expressed concerns that all cases that his services referred to the competent authorities for further investigation due to identified shortcomings were ultimately archived</w:t>
      </w:r>
      <w:r w:rsidRPr="000275CD">
        <w:rPr>
          <w:noProof/>
          <w:szCs w:val="22"/>
          <w:vertAlign w:val="superscript"/>
          <w:lang w:eastAsia="fr-FR"/>
        </w:rPr>
        <w:footnoteReference w:id="193"/>
      </w:r>
      <w:r w:rsidRPr="000275CD">
        <w:rPr>
          <w:noProof/>
          <w:szCs w:val="22"/>
          <w:lang w:eastAsia="fr-FR"/>
        </w:rPr>
        <w:t>. The Committee of Ministers of the Council of Europe continues to supervise the adoption of measures concerning the lack of effective investigation in the context of law enforcement</w:t>
      </w:r>
      <w:r w:rsidRPr="000275CD">
        <w:rPr>
          <w:noProof/>
          <w:szCs w:val="22"/>
          <w:vertAlign w:val="superscript"/>
          <w:lang w:eastAsia="fr-FR"/>
        </w:rPr>
        <w:footnoteReference w:id="194"/>
      </w:r>
      <w:r w:rsidRPr="000275CD">
        <w:rPr>
          <w:noProof/>
          <w:szCs w:val="22"/>
          <w:lang w:eastAsia="fr-FR"/>
        </w:rPr>
        <w:t>. In March 2026, the Committee of Ministers expressed regret at the lack of progress in the conduct of targeted wide-scale training activities for prosecutors and judges, including of naval courts and urged the authorities to take further action</w:t>
      </w:r>
      <w:r w:rsidRPr="000275CD">
        <w:rPr>
          <w:noProof/>
          <w:szCs w:val="22"/>
          <w:vertAlign w:val="superscript"/>
          <w:lang w:eastAsia="fr-FR"/>
        </w:rPr>
        <w:footnoteReference w:id="195"/>
      </w:r>
      <w:r w:rsidRPr="000275CD">
        <w:rPr>
          <w:noProof/>
          <w:szCs w:val="22"/>
          <w:lang w:eastAsia="fr-FR"/>
        </w:rPr>
        <w:t>. In May 2026, the National Transparency Authority was designated as the independent monitoring mechanism for fundamental rights during border screening and border asylum procedures</w:t>
      </w:r>
      <w:r w:rsidRPr="000275CD">
        <w:rPr>
          <w:noProof/>
          <w:szCs w:val="22"/>
          <w:vertAlign w:val="superscript"/>
          <w:lang w:eastAsia="fr-FR"/>
        </w:rPr>
        <w:footnoteReference w:id="196"/>
      </w:r>
      <w:r w:rsidRPr="000275CD">
        <w:rPr>
          <w:noProof/>
          <w:szCs w:val="22"/>
          <w:lang w:eastAsia="fr-FR"/>
        </w:rPr>
        <w:t>. Also, a new disciplinary framework for the Coast Guard is being drafted, aiming to modernise its disciplinary system, including clearer offence classifications, updated procedural rules and new investigative mechanisms</w:t>
      </w:r>
      <w:r w:rsidRPr="000275CD">
        <w:rPr>
          <w:noProof/>
          <w:szCs w:val="22"/>
          <w:vertAlign w:val="superscript"/>
          <w:lang w:eastAsia="fr-FR"/>
        </w:rPr>
        <w:footnoteReference w:id="197"/>
      </w:r>
      <w:r w:rsidRPr="000275CD">
        <w:rPr>
          <w:noProof/>
          <w:szCs w:val="22"/>
          <w:lang w:eastAsia="fr-FR"/>
        </w:rPr>
        <w:t>.</w:t>
      </w:r>
    </w:p>
    <w:p w14:paraId="44836BFF" w14:textId="0C59BBE5" w:rsidR="00E51455" w:rsidRPr="000275CD" w:rsidRDefault="00E51455" w:rsidP="00E51455">
      <w:pPr>
        <w:rPr>
          <w:noProof/>
          <w:szCs w:val="22"/>
          <w:lang w:eastAsia="fr-FR"/>
        </w:rPr>
      </w:pPr>
      <w:r w:rsidRPr="000275CD">
        <w:rPr>
          <w:b/>
          <w:noProof/>
          <w:szCs w:val="22"/>
          <w:lang w:eastAsia="fr-FR"/>
        </w:rPr>
        <w:t>On 1 January 2026, Greece had 36 leading judgments of the European Court of Human Rights pending implementation, an increase of 6 compared to the previous year</w:t>
      </w:r>
      <w:r w:rsidRPr="000275CD">
        <w:rPr>
          <w:b/>
          <w:noProof/>
          <w:szCs w:val="22"/>
          <w:vertAlign w:val="superscript"/>
          <w:lang w:eastAsia="fr-FR"/>
        </w:rPr>
        <w:footnoteReference w:id="198"/>
      </w:r>
      <w:r w:rsidRPr="000275CD">
        <w:rPr>
          <w:b/>
          <w:noProof/>
          <w:szCs w:val="22"/>
          <w:lang w:eastAsia="fr-FR"/>
        </w:rPr>
        <w:t xml:space="preserve">. </w:t>
      </w:r>
      <w:r w:rsidRPr="000275CD">
        <w:rPr>
          <w:noProof/>
          <w:szCs w:val="22"/>
          <w:lang w:eastAsia="fr-FR"/>
        </w:rPr>
        <w:t>At that time, Greece’s rate of leading judgments from the past ten years that had been implemented was at 62% (compared to 66% in 2025; 38% remained pending), and the average time that the judgments had been pending implementation was 5 years and 2 months (compared to 6 years and 1 month in 2025)</w:t>
      </w:r>
      <w:r w:rsidRPr="000275CD">
        <w:rPr>
          <w:noProof/>
          <w:szCs w:val="22"/>
          <w:vertAlign w:val="superscript"/>
          <w:lang w:eastAsia="fr-FR"/>
        </w:rPr>
        <w:footnoteReference w:id="199"/>
      </w:r>
      <w:r w:rsidRPr="000275CD">
        <w:rPr>
          <w:noProof/>
          <w:szCs w:val="22"/>
          <w:lang w:eastAsia="fr-FR"/>
        </w:rPr>
        <w:t>. The oldest leading judgment, pending implementation for 18 years, found violations of freedom of association</w:t>
      </w:r>
      <w:r w:rsidRPr="000275CD">
        <w:rPr>
          <w:noProof/>
          <w:szCs w:val="22"/>
          <w:vertAlign w:val="superscript"/>
          <w:lang w:eastAsia="fr-FR"/>
        </w:rPr>
        <w:footnoteReference w:id="200"/>
      </w:r>
      <w:r w:rsidRPr="000275CD">
        <w:rPr>
          <w:noProof/>
          <w:szCs w:val="22"/>
          <w:lang w:eastAsia="fr-FR"/>
        </w:rPr>
        <w:t>. As regards the respect of payment deadlines, on 31 December 2025 there were 19 cases in total awaiting confirmation of payments (compared to 7 in 2024)</w:t>
      </w:r>
      <w:r w:rsidRPr="000275CD">
        <w:rPr>
          <w:noProof/>
          <w:szCs w:val="22"/>
          <w:vertAlign w:val="superscript"/>
          <w:lang w:eastAsia="fr-FR"/>
        </w:rPr>
        <w:footnoteReference w:id="201"/>
      </w:r>
      <w:r w:rsidRPr="000275CD">
        <w:rPr>
          <w:noProof/>
          <w:szCs w:val="22"/>
          <w:lang w:eastAsia="fr-FR"/>
        </w:rPr>
        <w:t>. On 1</w:t>
      </w:r>
      <w:r w:rsidR="00F94DC4">
        <w:rPr>
          <w:noProof/>
          <w:szCs w:val="22"/>
          <w:lang w:eastAsia="fr-FR"/>
        </w:rPr>
        <w:t>7</w:t>
      </w:r>
      <w:r w:rsidRPr="000275CD">
        <w:rPr>
          <w:noProof/>
          <w:szCs w:val="22"/>
          <w:lang w:eastAsia="fr-FR"/>
        </w:rPr>
        <w:t xml:space="preserve"> June 2026, the number of leading judgments pending implementation had increased to </w:t>
      </w:r>
      <w:r w:rsidR="00536DCB">
        <w:rPr>
          <w:noProof/>
          <w:szCs w:val="22"/>
          <w:lang w:eastAsia="fr-FR"/>
        </w:rPr>
        <w:t>40</w:t>
      </w:r>
      <w:r w:rsidRPr="000275CD">
        <w:rPr>
          <w:noProof/>
          <w:szCs w:val="22"/>
          <w:vertAlign w:val="superscript"/>
          <w:lang w:eastAsia="fr-FR"/>
        </w:rPr>
        <w:footnoteReference w:id="202"/>
      </w:r>
      <w:r w:rsidRPr="000275CD">
        <w:rPr>
          <w:noProof/>
          <w:szCs w:val="22"/>
          <w:lang w:eastAsia="fr-FR"/>
        </w:rPr>
        <w:t>.</w:t>
      </w:r>
    </w:p>
    <w:p w14:paraId="00D2FAA5" w14:textId="47CA2B60" w:rsidR="00E51455" w:rsidRPr="000275CD" w:rsidRDefault="00E51455" w:rsidP="00E51455">
      <w:pPr>
        <w:tabs>
          <w:tab w:val="num" w:pos="720"/>
        </w:tabs>
        <w:rPr>
          <w:b/>
          <w:noProof/>
          <w:lang w:eastAsia="fr-FR"/>
        </w:rPr>
      </w:pPr>
      <w:r w:rsidRPr="5515FAF8">
        <w:rPr>
          <w:b/>
          <w:noProof/>
          <w:lang w:eastAsia="fr-FR"/>
        </w:rPr>
        <w:t xml:space="preserve">There has been some </w:t>
      </w:r>
      <w:r w:rsidR="003F441F">
        <w:rPr>
          <w:b/>
          <w:noProof/>
          <w:lang w:eastAsia="fr-FR"/>
        </w:rPr>
        <w:t xml:space="preserve">further </w:t>
      </w:r>
      <w:r w:rsidRPr="5515FAF8">
        <w:rPr>
          <w:b/>
          <w:noProof/>
          <w:lang w:eastAsia="fr-FR"/>
        </w:rPr>
        <w:t>progress on developing a regular and sustained structured dialogue and on simplifying registration requirements for civil society organisations in view of maintaining an open framework for them to operate</w:t>
      </w:r>
      <w:r w:rsidRPr="5515FAF8">
        <w:rPr>
          <w:b/>
          <w:noProof/>
          <w:vertAlign w:val="superscript"/>
          <w:lang w:eastAsia="fr-FR"/>
        </w:rPr>
        <w:footnoteReference w:id="203"/>
      </w:r>
      <w:r w:rsidRPr="5515FAF8">
        <w:rPr>
          <w:b/>
          <w:noProof/>
          <w:lang w:eastAsia="fr-FR"/>
        </w:rPr>
        <w:t xml:space="preserve">. </w:t>
      </w:r>
      <w:r w:rsidR="00436D89" w:rsidRPr="5515FAF8">
        <w:rPr>
          <w:noProof/>
          <w:lang w:eastAsia="fr-FR"/>
        </w:rPr>
        <w:t>Structured dialogues should be regular, long-lasting and result-oriented in order to allow for effective engagement and participation of citizens and civil society organisations</w:t>
      </w:r>
      <w:r w:rsidR="00436D89" w:rsidRPr="5515FAF8">
        <w:rPr>
          <w:noProof/>
          <w:vertAlign w:val="superscript"/>
          <w:lang w:eastAsia="fr-FR"/>
        </w:rPr>
        <w:footnoteReference w:id="204"/>
      </w:r>
      <w:r w:rsidR="00436D89">
        <w:rPr>
          <w:noProof/>
          <w:lang w:eastAsia="fr-FR"/>
        </w:rPr>
        <w:t xml:space="preserve">. </w:t>
      </w:r>
      <w:r w:rsidRPr="5515FAF8">
        <w:rPr>
          <w:noProof/>
          <w:lang w:eastAsia="fr-FR"/>
        </w:rPr>
        <w:t xml:space="preserve">In May 2026, the Ministry of Asylum and Migration (MoMA) adopted a ministerial decision, which included a provision on </w:t>
      </w:r>
      <w:r w:rsidRPr="5515FAF8">
        <w:rPr>
          <w:rFonts w:cstheme="minorBidi"/>
          <w:noProof/>
          <w:lang w:eastAsia="fr-FR"/>
        </w:rPr>
        <w:t xml:space="preserve">structured dialogue with civil society organisations and committed to hold </w:t>
      </w:r>
      <w:r w:rsidRPr="5515FAF8">
        <w:rPr>
          <w:noProof/>
          <w:lang w:eastAsia="fr-FR"/>
        </w:rPr>
        <w:t xml:space="preserve">regular </w:t>
      </w:r>
      <w:r w:rsidRPr="5515FAF8">
        <w:rPr>
          <w:rFonts w:cstheme="minorBidi"/>
          <w:noProof/>
          <w:lang w:eastAsia="fr-FR"/>
        </w:rPr>
        <w:t>meetings at least twice a year</w:t>
      </w:r>
      <w:r w:rsidRPr="5515FAF8">
        <w:rPr>
          <w:noProof/>
          <w:vertAlign w:val="superscript"/>
          <w:lang w:eastAsia="fr-FR"/>
        </w:rPr>
        <w:footnoteReference w:id="205"/>
      </w:r>
      <w:r w:rsidRPr="5515FAF8">
        <w:rPr>
          <w:noProof/>
          <w:lang w:eastAsia="fr-FR"/>
        </w:rPr>
        <w:t xml:space="preserve">. The MoMA </w:t>
      </w:r>
      <w:r w:rsidR="00B95458">
        <w:rPr>
          <w:noProof/>
          <w:lang w:eastAsia="fr-FR"/>
        </w:rPr>
        <w:t>held</w:t>
      </w:r>
      <w:r w:rsidRPr="5515FAF8">
        <w:rPr>
          <w:noProof/>
          <w:lang w:eastAsia="fr-FR"/>
        </w:rPr>
        <w:t xml:space="preserve"> </w:t>
      </w:r>
      <w:r w:rsidR="007B08C1">
        <w:rPr>
          <w:noProof/>
          <w:lang w:eastAsia="fr-FR"/>
        </w:rPr>
        <w:t>a</w:t>
      </w:r>
      <w:r w:rsidR="00DF3C7A" w:rsidRPr="5515FAF8">
        <w:rPr>
          <w:noProof/>
          <w:lang w:eastAsia="fr-FR"/>
        </w:rPr>
        <w:t xml:space="preserve"> </w:t>
      </w:r>
      <w:r w:rsidR="00973350">
        <w:rPr>
          <w:noProof/>
          <w:lang w:eastAsia="fr-FR"/>
        </w:rPr>
        <w:t>first</w:t>
      </w:r>
      <w:r w:rsidR="00B95458">
        <w:rPr>
          <w:noProof/>
          <w:lang w:eastAsia="fr-FR"/>
        </w:rPr>
        <w:t xml:space="preserve"> </w:t>
      </w:r>
      <w:r w:rsidRPr="5515FAF8">
        <w:rPr>
          <w:noProof/>
          <w:lang w:eastAsia="fr-FR"/>
        </w:rPr>
        <w:t>meeting in June 2026</w:t>
      </w:r>
      <w:r w:rsidR="00914DB1">
        <w:rPr>
          <w:noProof/>
          <w:lang w:eastAsia="fr-FR"/>
        </w:rPr>
        <w:t xml:space="preserve">, </w:t>
      </w:r>
      <w:r w:rsidR="00D12C56">
        <w:rPr>
          <w:noProof/>
          <w:lang w:eastAsia="fr-FR"/>
        </w:rPr>
        <w:t>during which</w:t>
      </w:r>
      <w:r w:rsidR="00914DB1">
        <w:rPr>
          <w:noProof/>
          <w:lang w:eastAsia="fr-FR"/>
        </w:rPr>
        <w:t xml:space="preserve"> </w:t>
      </w:r>
      <w:r w:rsidR="009C5EDE">
        <w:rPr>
          <w:noProof/>
          <w:lang w:eastAsia="fr-FR"/>
        </w:rPr>
        <w:t>they</w:t>
      </w:r>
      <w:r w:rsidR="00914DB1">
        <w:rPr>
          <w:noProof/>
          <w:lang w:eastAsia="fr-FR"/>
        </w:rPr>
        <w:t xml:space="preserve"> presented </w:t>
      </w:r>
      <w:r w:rsidR="00AB624C">
        <w:rPr>
          <w:noProof/>
          <w:lang w:eastAsia="fr-FR"/>
        </w:rPr>
        <w:t>the</w:t>
      </w:r>
      <w:r w:rsidR="00FE0D97">
        <w:rPr>
          <w:noProof/>
          <w:lang w:eastAsia="fr-FR"/>
        </w:rPr>
        <w:t xml:space="preserve"> proposed timeline, </w:t>
      </w:r>
      <w:r w:rsidR="00363136">
        <w:rPr>
          <w:noProof/>
          <w:lang w:eastAsia="fr-FR"/>
        </w:rPr>
        <w:t>structure</w:t>
      </w:r>
      <w:r w:rsidR="000D2D82">
        <w:rPr>
          <w:noProof/>
          <w:lang w:eastAsia="fr-FR"/>
        </w:rPr>
        <w:t>, thematic pillars</w:t>
      </w:r>
      <w:r w:rsidR="00363136">
        <w:rPr>
          <w:noProof/>
          <w:lang w:eastAsia="fr-FR"/>
        </w:rPr>
        <w:t xml:space="preserve"> and collaborative tools t</w:t>
      </w:r>
      <w:r w:rsidR="00B04911">
        <w:rPr>
          <w:noProof/>
          <w:lang w:eastAsia="fr-FR"/>
        </w:rPr>
        <w:t xml:space="preserve">o </w:t>
      </w:r>
      <w:r w:rsidR="0016383B">
        <w:rPr>
          <w:noProof/>
          <w:lang w:eastAsia="fr-FR"/>
        </w:rPr>
        <w:t>facilitate</w:t>
      </w:r>
      <w:r w:rsidR="00B04911">
        <w:rPr>
          <w:noProof/>
          <w:lang w:eastAsia="fr-FR"/>
        </w:rPr>
        <w:t xml:space="preserve"> </w:t>
      </w:r>
      <w:r w:rsidR="00B22856">
        <w:rPr>
          <w:noProof/>
          <w:lang w:eastAsia="fr-FR"/>
        </w:rPr>
        <w:t xml:space="preserve">meaningful </w:t>
      </w:r>
      <w:r w:rsidR="00B04911">
        <w:rPr>
          <w:noProof/>
          <w:lang w:eastAsia="fr-FR"/>
        </w:rPr>
        <w:t>excha</w:t>
      </w:r>
      <w:r w:rsidR="00353289">
        <w:rPr>
          <w:noProof/>
          <w:lang w:eastAsia="fr-FR"/>
        </w:rPr>
        <w:t>nges</w:t>
      </w:r>
      <w:r w:rsidR="00B22856">
        <w:rPr>
          <w:noProof/>
          <w:lang w:eastAsia="fr-FR"/>
        </w:rPr>
        <w:t xml:space="preserve"> </w:t>
      </w:r>
      <w:r w:rsidR="000D2D82">
        <w:rPr>
          <w:noProof/>
          <w:lang w:eastAsia="fr-FR"/>
        </w:rPr>
        <w:t>among</w:t>
      </w:r>
      <w:r w:rsidR="00B22856">
        <w:rPr>
          <w:noProof/>
          <w:lang w:eastAsia="fr-FR"/>
        </w:rPr>
        <w:t xml:space="preserve"> participants. </w:t>
      </w:r>
      <w:r w:rsidR="0016383B">
        <w:rPr>
          <w:noProof/>
          <w:lang w:eastAsia="fr-FR"/>
        </w:rPr>
        <w:t>The</w:t>
      </w:r>
      <w:r w:rsidR="00334DA6">
        <w:rPr>
          <w:noProof/>
          <w:lang w:eastAsia="fr-FR"/>
        </w:rPr>
        <w:t>y have invited C</w:t>
      </w:r>
      <w:r w:rsidR="00672719">
        <w:rPr>
          <w:noProof/>
          <w:lang w:eastAsia="fr-FR"/>
        </w:rPr>
        <w:t xml:space="preserve">SOs to provide their </w:t>
      </w:r>
      <w:r w:rsidR="000D2D82">
        <w:rPr>
          <w:noProof/>
          <w:lang w:eastAsia="fr-FR"/>
        </w:rPr>
        <w:t xml:space="preserve">concrete </w:t>
      </w:r>
      <w:r w:rsidR="00672719">
        <w:rPr>
          <w:noProof/>
          <w:lang w:eastAsia="fr-FR"/>
        </w:rPr>
        <w:t>p</w:t>
      </w:r>
      <w:r w:rsidR="001A4FAB">
        <w:rPr>
          <w:noProof/>
          <w:lang w:eastAsia="fr-FR"/>
        </w:rPr>
        <w:t xml:space="preserve">roposals on the conduct of the dialogue </w:t>
      </w:r>
      <w:r w:rsidR="004C4289">
        <w:rPr>
          <w:noProof/>
          <w:lang w:eastAsia="fr-FR"/>
        </w:rPr>
        <w:t xml:space="preserve">in the </w:t>
      </w:r>
      <w:r w:rsidR="00224F1E">
        <w:rPr>
          <w:noProof/>
          <w:lang w:eastAsia="fr-FR"/>
        </w:rPr>
        <w:t>coming</w:t>
      </w:r>
      <w:r w:rsidR="004C4289">
        <w:rPr>
          <w:noProof/>
          <w:lang w:eastAsia="fr-FR"/>
        </w:rPr>
        <w:t xml:space="preserve"> months, ahead of a </w:t>
      </w:r>
      <w:r w:rsidR="001A4FAB">
        <w:rPr>
          <w:noProof/>
          <w:lang w:eastAsia="fr-FR"/>
        </w:rPr>
        <w:t>second meeting</w:t>
      </w:r>
      <w:r w:rsidR="000D2D82">
        <w:rPr>
          <w:noProof/>
          <w:lang w:eastAsia="fr-FR"/>
        </w:rPr>
        <w:t xml:space="preserve"> </w:t>
      </w:r>
      <w:r w:rsidR="004B033C">
        <w:rPr>
          <w:noProof/>
          <w:lang w:eastAsia="fr-FR"/>
        </w:rPr>
        <w:t>scheduled for the</w:t>
      </w:r>
      <w:r w:rsidR="000D2D82">
        <w:rPr>
          <w:noProof/>
          <w:lang w:eastAsia="fr-FR"/>
        </w:rPr>
        <w:t xml:space="preserve"> end of 2026</w:t>
      </w:r>
      <w:r w:rsidRPr="5515FAF8">
        <w:rPr>
          <w:noProof/>
          <w:lang w:eastAsia="fr-FR"/>
        </w:rPr>
        <w:t xml:space="preserve">. </w:t>
      </w:r>
      <w:r w:rsidR="00215F12">
        <w:rPr>
          <w:noProof/>
          <w:lang w:eastAsia="fr-FR"/>
        </w:rPr>
        <w:t>The Ministry of Interior plans to conduct an electronic survey to map the needs of CSOs and hold dedicated meetings</w:t>
      </w:r>
      <w:r w:rsidR="00215F12">
        <w:rPr>
          <w:rStyle w:val="FootnoteReference"/>
          <w:noProof/>
          <w:lang w:eastAsia="fr-FR"/>
        </w:rPr>
        <w:footnoteReference w:id="206"/>
      </w:r>
      <w:r w:rsidRPr="5515FAF8">
        <w:rPr>
          <w:noProof/>
          <w:lang w:eastAsia="fr-FR"/>
        </w:rPr>
        <w:t>.</w:t>
      </w:r>
      <w:r w:rsidRPr="5515FAF8">
        <w:rPr>
          <w:rFonts w:ascii="Arial" w:eastAsiaTheme="minorEastAsia" w:hAnsi="Arial" w:cs="Arial"/>
          <w:noProof/>
          <w:color w:val="00002E"/>
          <w:shd w:val="clear" w:color="auto" w:fill="FBFBFB"/>
          <w:lang w:eastAsia="en-US"/>
        </w:rPr>
        <w:t xml:space="preserve"> </w:t>
      </w:r>
      <w:r w:rsidRPr="5515FAF8">
        <w:rPr>
          <w:noProof/>
          <w:lang w:eastAsia="fr-FR"/>
        </w:rPr>
        <w:t>The number and complexity of registration requirements for CSOs remains a challenge. In February 2026, MoMA amended the registration requirements for its two Registries, limiting mandatory registration to CSOs receiving state/EU funding or operating in its facilities</w:t>
      </w:r>
      <w:r w:rsidRPr="5515FAF8">
        <w:rPr>
          <w:noProof/>
          <w:vertAlign w:val="superscript"/>
          <w:lang w:eastAsia="fr-FR"/>
        </w:rPr>
        <w:footnoteReference w:id="207"/>
      </w:r>
      <w:r w:rsidRPr="5515FAF8">
        <w:rPr>
          <w:noProof/>
          <w:lang w:eastAsia="fr-FR"/>
        </w:rPr>
        <w:t>, but retained the requirement for all members, employees and associates of these CSOs to register. The list of criminal offenses preventing registration was expanded to include not only final convictions but also ongoing prosecutions of CSOs’ legal representatives. A ministerial decision adopted in May 2026 introduced some positive changes, such as reducing documentation requirements and streamlining procedures by eliminating the need for a three-member committee’s opinion. However, it also preserves a margin of administrative discretion, allowing the competent authority to refuse registration on the basis of broader evaluative considerations extending beyond the formal fulfilment of the prescribed legal requirements</w:t>
      </w:r>
      <w:r w:rsidRPr="5515FAF8">
        <w:rPr>
          <w:noProof/>
          <w:vertAlign w:val="superscript"/>
          <w:lang w:eastAsia="fr-FR"/>
        </w:rPr>
        <w:footnoteReference w:id="208"/>
      </w:r>
      <w:r w:rsidRPr="5515FAF8">
        <w:rPr>
          <w:noProof/>
          <w:lang w:eastAsia="fr-FR"/>
        </w:rPr>
        <w:t xml:space="preserve">. In parallel, </w:t>
      </w:r>
      <w:r w:rsidR="00590AB7">
        <w:rPr>
          <w:noProof/>
          <w:lang w:eastAsia="fr-FR"/>
        </w:rPr>
        <w:t>the anticipated</w:t>
      </w:r>
      <w:r w:rsidRPr="5515FAF8">
        <w:rPr>
          <w:noProof/>
          <w:lang w:eastAsia="fr-FR"/>
        </w:rPr>
        <w:t xml:space="preserve"> interoperable information system among the MoMA Registries and the Registries of the Ministry of Interior</w:t>
      </w:r>
      <w:r w:rsidRPr="5515FAF8">
        <w:rPr>
          <w:noProof/>
          <w:vertAlign w:val="superscript"/>
          <w:lang w:eastAsia="fr-FR"/>
        </w:rPr>
        <w:footnoteReference w:id="209"/>
      </w:r>
      <w:r w:rsidRPr="5515FAF8">
        <w:rPr>
          <w:noProof/>
          <w:lang w:eastAsia="fr-FR"/>
        </w:rPr>
        <w:t xml:space="preserve"> is </w:t>
      </w:r>
      <w:r w:rsidR="00590AB7">
        <w:rPr>
          <w:noProof/>
          <w:lang w:eastAsia="fr-FR"/>
        </w:rPr>
        <w:t>expected to be</w:t>
      </w:r>
      <w:r w:rsidR="00384FDE">
        <w:rPr>
          <w:noProof/>
          <w:lang w:eastAsia="fr-FR"/>
        </w:rPr>
        <w:t xml:space="preserve"> </w:t>
      </w:r>
      <w:r w:rsidR="00A84D53">
        <w:rPr>
          <w:noProof/>
          <w:lang w:eastAsia="fr-FR"/>
        </w:rPr>
        <w:t xml:space="preserve">completed in </w:t>
      </w:r>
      <w:r w:rsidR="0011307E">
        <w:rPr>
          <w:noProof/>
          <w:lang w:eastAsia="fr-FR"/>
        </w:rPr>
        <w:t>October 2026</w:t>
      </w:r>
      <w:r w:rsidRPr="5515FAF8">
        <w:rPr>
          <w:noProof/>
          <w:lang w:eastAsia="fr-FR"/>
        </w:rPr>
        <w:t>, to allow CSOs to submit data only once</w:t>
      </w:r>
      <w:r w:rsidRPr="5515FAF8">
        <w:rPr>
          <w:noProof/>
          <w:vertAlign w:val="superscript"/>
          <w:lang w:eastAsia="fr-FR"/>
        </w:rPr>
        <w:footnoteReference w:id="210"/>
      </w:r>
      <w:r w:rsidRPr="5515FAF8">
        <w:rPr>
          <w:noProof/>
          <w:lang w:eastAsia="fr-FR"/>
        </w:rPr>
        <w:t>. Meanwhile, in January 2026, the Ministry of Interior created a new platform, the Observatory of CSOs and Other Non-Commercial Entities, to map CSOs and enhance visibility and engagement</w:t>
      </w:r>
      <w:r w:rsidRPr="5515FAF8">
        <w:rPr>
          <w:noProof/>
          <w:vertAlign w:val="superscript"/>
          <w:lang w:eastAsia="fr-FR"/>
        </w:rPr>
        <w:footnoteReference w:id="211"/>
      </w:r>
      <w:r w:rsidRPr="5515FAF8">
        <w:rPr>
          <w:noProof/>
          <w:lang w:eastAsia="fr-FR"/>
        </w:rPr>
        <w:t>. The existence of different registries creates logistical challenges, as all are maintained in parallel, requiring the creation of interoperability databases</w:t>
      </w:r>
      <w:r w:rsidRPr="5515FAF8">
        <w:rPr>
          <w:noProof/>
          <w:vertAlign w:val="superscript"/>
          <w:lang w:eastAsia="fr-FR"/>
        </w:rPr>
        <w:footnoteReference w:id="212"/>
      </w:r>
      <w:r w:rsidRPr="5515FAF8">
        <w:rPr>
          <w:noProof/>
          <w:lang w:eastAsia="fr-FR"/>
        </w:rPr>
        <w:t>. Stakeholders criticized the measures</w:t>
      </w:r>
      <w:r w:rsidRPr="5515FAF8">
        <w:rPr>
          <w:noProof/>
          <w:vertAlign w:val="superscript"/>
          <w:lang w:eastAsia="fr-FR"/>
        </w:rPr>
        <w:footnoteReference w:id="213"/>
      </w:r>
      <w:r w:rsidRPr="5515FAF8">
        <w:rPr>
          <w:noProof/>
          <w:lang w:eastAsia="fr-FR"/>
        </w:rPr>
        <w:t xml:space="preserve">. Further delays in a long-pending case before the Council of State, challenging CSO registration requirements, </w:t>
      </w:r>
      <w:r w:rsidR="003A1778" w:rsidRPr="00672F7B">
        <w:rPr>
          <w:noProof/>
          <w:lang w:eastAsia="fr-FR"/>
        </w:rPr>
        <w:t xml:space="preserve">with </w:t>
      </w:r>
      <w:r w:rsidRPr="00672F7B">
        <w:rPr>
          <w:noProof/>
          <w:lang w:eastAsia="fr-FR"/>
        </w:rPr>
        <w:t xml:space="preserve">a new hearing </w:t>
      </w:r>
      <w:r w:rsidR="00A94179" w:rsidRPr="00672F7B">
        <w:rPr>
          <w:noProof/>
          <w:lang w:eastAsia="fr-FR"/>
        </w:rPr>
        <w:t xml:space="preserve">held </w:t>
      </w:r>
      <w:r w:rsidRPr="00672F7B">
        <w:rPr>
          <w:noProof/>
          <w:lang w:eastAsia="fr-FR"/>
        </w:rPr>
        <w:t xml:space="preserve">in </w:t>
      </w:r>
      <w:r w:rsidR="00A94179" w:rsidRPr="00672F7B">
        <w:rPr>
          <w:noProof/>
          <w:lang w:eastAsia="fr-FR"/>
        </w:rPr>
        <w:t xml:space="preserve">late </w:t>
      </w:r>
      <w:r w:rsidRPr="00672F7B">
        <w:rPr>
          <w:noProof/>
          <w:lang w:eastAsia="fr-FR"/>
        </w:rPr>
        <w:t>June 2026, impacts</w:t>
      </w:r>
      <w:r w:rsidRPr="5515FAF8">
        <w:rPr>
          <w:noProof/>
          <w:lang w:eastAsia="fr-FR"/>
        </w:rPr>
        <w:t xml:space="preserve"> other court applications by CSOs</w:t>
      </w:r>
      <w:r w:rsidRPr="5515FAF8">
        <w:rPr>
          <w:noProof/>
          <w:vertAlign w:val="superscript"/>
          <w:lang w:eastAsia="fr-FR"/>
        </w:rPr>
        <w:footnoteReference w:id="214"/>
      </w:r>
      <w:r w:rsidRPr="5515FAF8">
        <w:rPr>
          <w:noProof/>
          <w:lang w:eastAsia="fr-FR"/>
        </w:rPr>
        <w:t xml:space="preserve">. Overall, while the registration framework remains fragmented, some steps have been taken and the basis for a structured dialogue with CSOs has been laid. There has therefore been some </w:t>
      </w:r>
      <w:r w:rsidR="002750F9">
        <w:rPr>
          <w:noProof/>
          <w:lang w:eastAsia="fr-FR"/>
        </w:rPr>
        <w:t xml:space="preserve">further </w:t>
      </w:r>
      <w:r w:rsidRPr="5515FAF8">
        <w:rPr>
          <w:noProof/>
          <w:lang w:eastAsia="fr-FR"/>
        </w:rPr>
        <w:t xml:space="preserve">progress on the implementation of the recommendation. </w:t>
      </w:r>
    </w:p>
    <w:p w14:paraId="38E639B9" w14:textId="77777777" w:rsidR="00E51455" w:rsidRPr="000275CD" w:rsidRDefault="00E51455" w:rsidP="00E51455">
      <w:pPr>
        <w:rPr>
          <w:noProof/>
          <w:lang w:eastAsia="fr-FR"/>
        </w:rPr>
      </w:pPr>
      <w:r w:rsidRPr="2164842A">
        <w:rPr>
          <w:b/>
          <w:noProof/>
          <w:lang w:eastAsia="fr-FR"/>
        </w:rPr>
        <w:t xml:space="preserve">Civil society organisations, particularly those active in migration and human rights, face an increasingly challenging environment. </w:t>
      </w:r>
      <w:r w:rsidRPr="2164842A">
        <w:rPr>
          <w:noProof/>
          <w:lang w:eastAsia="fr-FR"/>
        </w:rPr>
        <w:t>Civic space in Greece continues to be rated as “obstructed” by Civicus</w:t>
      </w:r>
      <w:r w:rsidRPr="2164842A">
        <w:rPr>
          <w:noProof/>
          <w:vertAlign w:val="superscript"/>
          <w:lang w:eastAsia="fr-FR"/>
        </w:rPr>
        <w:footnoteReference w:id="215"/>
      </w:r>
      <w:r w:rsidRPr="2164842A">
        <w:rPr>
          <w:noProof/>
          <w:lang w:eastAsia="fr-FR"/>
        </w:rPr>
        <w:t>. In February 2026, CSO membership became an aggravating factor in certain migration-related offences, meaning that CSO members can face harsher penalties</w:t>
      </w:r>
      <w:r w:rsidRPr="2164842A">
        <w:rPr>
          <w:noProof/>
          <w:vertAlign w:val="superscript"/>
          <w:lang w:eastAsia="fr-FR"/>
        </w:rPr>
        <w:footnoteReference w:id="216"/>
      </w:r>
      <w:r w:rsidRPr="2164842A">
        <w:rPr>
          <w:noProof/>
          <w:lang w:eastAsia="fr-FR"/>
        </w:rPr>
        <w:t>. The Minister of Migration can deregister a CSO after charges have been brought against one of its members, without awaiting a final court ruling.</w:t>
      </w:r>
      <w:r w:rsidRPr="2164842A" w:rsidDel="0091203D">
        <w:rPr>
          <w:noProof/>
          <w:lang w:eastAsia="fr-FR"/>
        </w:rPr>
        <w:t xml:space="preserve"> </w:t>
      </w:r>
      <w:r w:rsidRPr="2164842A">
        <w:rPr>
          <w:rFonts w:eastAsiaTheme="minorEastAsia" w:cstheme="minorBidi"/>
          <w:noProof/>
          <w:lang w:eastAsia="en-US"/>
        </w:rPr>
        <w:t>The Government maintains that the rules promote CSO accountability, while humanitarian actions are explicitly exempted</w:t>
      </w:r>
      <w:r w:rsidRPr="2164842A">
        <w:rPr>
          <w:rFonts w:eastAsiaTheme="minorEastAsia" w:cstheme="minorBidi"/>
          <w:noProof/>
          <w:vertAlign w:val="superscript"/>
          <w:lang w:eastAsia="en-US"/>
        </w:rPr>
        <w:footnoteReference w:id="217"/>
      </w:r>
      <w:r w:rsidRPr="2164842A">
        <w:rPr>
          <w:rFonts w:eastAsiaTheme="minorEastAsia" w:cstheme="minorBidi"/>
          <w:noProof/>
          <w:lang w:eastAsia="en-US"/>
        </w:rPr>
        <w:t xml:space="preserve">. </w:t>
      </w:r>
      <w:r w:rsidRPr="2164842A">
        <w:rPr>
          <w:noProof/>
          <w:lang w:eastAsia="fr-FR"/>
        </w:rPr>
        <w:t>I</w:t>
      </w:r>
      <w:r w:rsidRPr="2164842A">
        <w:rPr>
          <w:rFonts w:eastAsiaTheme="minorEastAsia" w:cstheme="minorBidi"/>
          <w:noProof/>
          <w:lang w:eastAsia="en-US"/>
        </w:rPr>
        <w:t>nternational organisations, including the United Nations and the Council of Europe, independent authorities and other stakeholders have been very critical</w:t>
      </w:r>
      <w:r w:rsidRPr="2164842A">
        <w:rPr>
          <w:rFonts w:eastAsiaTheme="minorEastAsia" w:cstheme="minorBidi"/>
          <w:noProof/>
          <w:vertAlign w:val="superscript"/>
          <w:lang w:eastAsia="en-US"/>
        </w:rPr>
        <w:footnoteReference w:id="218"/>
      </w:r>
      <w:r w:rsidRPr="2164842A">
        <w:rPr>
          <w:rFonts w:eastAsiaTheme="minorEastAsia" w:cstheme="minorBidi"/>
          <w:noProof/>
          <w:lang w:eastAsia="en-US"/>
        </w:rPr>
        <w:t>. Civil society organisations warn that the law criminalises humanitarian work and creates a chilling effect</w:t>
      </w:r>
      <w:r w:rsidRPr="2164842A">
        <w:rPr>
          <w:noProof/>
          <w:vertAlign w:val="superscript"/>
          <w:lang w:eastAsia="fr-FR"/>
        </w:rPr>
        <w:footnoteReference w:id="219"/>
      </w:r>
      <w:r w:rsidRPr="2164842A">
        <w:rPr>
          <w:rFonts w:eastAsiaTheme="minorEastAsia" w:cstheme="minorBidi"/>
          <w:noProof/>
          <w:lang w:eastAsia="en-US"/>
        </w:rPr>
        <w:t xml:space="preserve">. </w:t>
      </w:r>
      <w:r w:rsidRPr="2164842A">
        <w:rPr>
          <w:noProof/>
          <w:lang w:eastAsia="fr-FR"/>
        </w:rPr>
        <w:t>Several public statements by senior government officials targeting human rights defenders, legal practitioners, journalists and civil society organisations have prompted further reactions</w:t>
      </w:r>
      <w:r w:rsidRPr="2164842A">
        <w:rPr>
          <w:noProof/>
          <w:vertAlign w:val="superscript"/>
          <w:lang w:eastAsia="fr-FR"/>
        </w:rPr>
        <w:footnoteReference w:id="220"/>
      </w:r>
      <w:r w:rsidRPr="2164842A">
        <w:rPr>
          <w:noProof/>
          <w:lang w:eastAsia="fr-FR"/>
        </w:rPr>
        <w:t xml:space="preserve">. </w:t>
      </w:r>
    </w:p>
    <w:p w14:paraId="7341475F" w14:textId="3B08CE03" w:rsidR="00E51455" w:rsidRPr="000275CD" w:rsidRDefault="00E51455" w:rsidP="00E51455">
      <w:pPr>
        <w:rPr>
          <w:bCs/>
          <w:noProof/>
          <w:lang w:eastAsia="fr-FR"/>
        </w:rPr>
      </w:pPr>
      <w:r w:rsidRPr="000275CD">
        <w:rPr>
          <w:b/>
          <w:noProof/>
          <w:lang w:eastAsia="en-GB"/>
        </w:rPr>
        <w:t xml:space="preserve">The Council of State </w:t>
      </w:r>
      <w:r w:rsidRPr="000275CD">
        <w:rPr>
          <w:b/>
          <w:bCs/>
          <w:noProof/>
          <w:lang w:eastAsia="en-GB"/>
        </w:rPr>
        <w:t>is engaging in awareness campaigns to instil a rule of law culture among young people</w:t>
      </w:r>
      <w:r w:rsidRPr="000275CD">
        <w:rPr>
          <w:b/>
          <w:noProof/>
          <w:lang w:eastAsia="fr-FR"/>
        </w:rPr>
        <w:t xml:space="preserve">. </w:t>
      </w:r>
      <w:r w:rsidRPr="000275CD">
        <w:rPr>
          <w:bCs/>
          <w:noProof/>
          <w:lang w:eastAsia="fr-FR"/>
        </w:rPr>
        <w:t xml:space="preserve">The Council </w:t>
      </w:r>
      <w:r w:rsidR="0016676F">
        <w:rPr>
          <w:bCs/>
          <w:noProof/>
          <w:lang w:eastAsia="fr-FR"/>
        </w:rPr>
        <w:t xml:space="preserve">of State </w:t>
      </w:r>
      <w:r w:rsidRPr="000275CD">
        <w:rPr>
          <w:bCs/>
          <w:noProof/>
          <w:lang w:eastAsia="fr-FR"/>
        </w:rPr>
        <w:t>hosts study visits for schools and universities, during which students observe trials and learn about the Court’s history, functions and the broader institution of justice. Special mock trials are also organised for preschool children. In October 2025, the Council of State launched a cooperation with the Ministry of Education to explore integrating topics such as the justice system, rule of law principles and legal awareness into school curricula. The Council of State is developing educational materials for distribution to schools as part of this</w:t>
      </w:r>
      <w:r w:rsidRPr="000275CD">
        <w:rPr>
          <w:bCs/>
          <w:noProof/>
          <w:vertAlign w:val="superscript"/>
          <w:lang w:eastAsia="fr-FR"/>
        </w:rPr>
        <w:footnoteReference w:id="221"/>
      </w:r>
      <w:r w:rsidRPr="000275CD">
        <w:rPr>
          <w:bCs/>
          <w:noProof/>
          <w:lang w:eastAsia="fr-FR"/>
        </w:rPr>
        <w:t>.</w:t>
      </w:r>
    </w:p>
    <w:p w14:paraId="2A5BF2A9" w14:textId="77777777" w:rsidR="00E51455" w:rsidRPr="000275CD" w:rsidRDefault="00E51455" w:rsidP="00E51455">
      <w:pPr>
        <w:rPr>
          <w:noProof/>
          <w:lang w:eastAsia="fr-FR"/>
        </w:rPr>
      </w:pPr>
    </w:p>
    <w:p w14:paraId="24790DA5" w14:textId="77777777" w:rsidR="00E51455" w:rsidRPr="000275CD" w:rsidRDefault="00E51455" w:rsidP="00E51455">
      <w:pPr>
        <w:pageBreakBefore/>
        <w:spacing w:after="120" w:line="264" w:lineRule="auto"/>
        <w:rPr>
          <w:b/>
          <w:noProof/>
          <w:szCs w:val="22"/>
          <w:lang w:eastAsia="en-GB"/>
        </w:rPr>
      </w:pPr>
      <w:r w:rsidRPr="000275CD">
        <w:rPr>
          <w:b/>
          <w:noProof/>
          <w:szCs w:val="22"/>
          <w:lang w:eastAsia="en-GB"/>
        </w:rPr>
        <w:t>Annex I: List of sources in alphabetical order*</w:t>
      </w:r>
    </w:p>
    <w:p w14:paraId="530D3B06" w14:textId="67BE6CC5" w:rsidR="00E51455" w:rsidRPr="000275CD" w:rsidRDefault="00E51455" w:rsidP="00E51455">
      <w:pPr>
        <w:spacing w:after="120"/>
        <w:rPr>
          <w:i/>
          <w:noProof/>
          <w:sz w:val="22"/>
          <w:szCs w:val="22"/>
          <w:lang w:eastAsia="en-GB"/>
        </w:rPr>
      </w:pPr>
      <w:r w:rsidRPr="000275CD">
        <w:rPr>
          <w:i/>
          <w:noProof/>
          <w:sz w:val="22"/>
          <w:szCs w:val="22"/>
          <w:lang w:eastAsia="en-GB"/>
        </w:rPr>
        <w:t>* The list of contributions received in the context of the consultation for the 2026 Rule of Law Report can be found at</w:t>
      </w:r>
      <w:r w:rsidR="005A793F">
        <w:rPr>
          <w:i/>
          <w:noProof/>
          <w:sz w:val="22"/>
          <w:szCs w:val="22"/>
          <w:lang w:eastAsia="en-GB"/>
        </w:rPr>
        <w:t xml:space="preserve"> </w:t>
      </w:r>
      <w:hyperlink r:id="rId22" w:history="1">
        <w:r w:rsidR="005A793F" w:rsidRPr="005A793F">
          <w:rPr>
            <w:rStyle w:val="Hyperlink"/>
            <w:i/>
            <w:noProof/>
            <w:sz w:val="22"/>
            <w:szCs w:val="22"/>
            <w:lang w:val="en-US" w:eastAsia="en-GB"/>
          </w:rPr>
          <w:t>https://commission.europa.eu/publications/2026-rule-law-report-targeted-stakeholder-consultation_en</w:t>
        </w:r>
      </w:hyperlink>
      <w:r w:rsidRPr="000275CD">
        <w:rPr>
          <w:i/>
          <w:noProof/>
          <w:sz w:val="22"/>
          <w:szCs w:val="22"/>
          <w:lang w:eastAsia="en-GB"/>
        </w:rPr>
        <w:t>.</w:t>
      </w:r>
    </w:p>
    <w:p w14:paraId="3D9E24FB"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Association of Administrative Judges (2026), </w:t>
      </w:r>
      <w:r w:rsidRPr="000275CD">
        <w:rPr>
          <w:i/>
          <w:noProof/>
          <w:sz w:val="22"/>
          <w:szCs w:val="22"/>
          <w:lang w:eastAsia="en-GB"/>
        </w:rPr>
        <w:t xml:space="preserve">Input </w:t>
      </w:r>
      <w:r w:rsidRPr="000275CD">
        <w:rPr>
          <w:i/>
          <w:iCs/>
          <w:noProof/>
          <w:sz w:val="22"/>
          <w:szCs w:val="22"/>
          <w:lang w:eastAsia="en-GB"/>
        </w:rPr>
        <w:t>for the 2026 Rule of Law Report</w:t>
      </w:r>
      <w:r w:rsidRPr="000275CD">
        <w:rPr>
          <w:i/>
          <w:noProof/>
          <w:sz w:val="22"/>
          <w:szCs w:val="22"/>
          <w:lang w:eastAsia="en-GB"/>
        </w:rPr>
        <w:t>.</w:t>
      </w:r>
    </w:p>
    <w:p w14:paraId="76FD75D1" w14:textId="77777777" w:rsidR="00E51455" w:rsidRPr="000275CD" w:rsidRDefault="00E51455" w:rsidP="00E51455">
      <w:pPr>
        <w:spacing w:after="120"/>
        <w:rPr>
          <w:i/>
          <w:iCs/>
          <w:noProof/>
          <w:sz w:val="22"/>
          <w:szCs w:val="22"/>
          <w:lang w:eastAsia="en-GB"/>
        </w:rPr>
      </w:pPr>
      <w:r w:rsidRPr="000275CD">
        <w:rPr>
          <w:noProof/>
          <w:sz w:val="22"/>
          <w:szCs w:val="22"/>
          <w:lang w:eastAsia="en-GB"/>
        </w:rPr>
        <w:t>Association of Judges and Prosecutors</w:t>
      </w:r>
      <w:r w:rsidRPr="000275CD">
        <w:rPr>
          <w:rFonts w:eastAsiaTheme="minorHAnsi" w:cstheme="minorBidi"/>
          <w:noProof/>
          <w:sz w:val="22"/>
          <w:szCs w:val="22"/>
          <w:lang w:eastAsia="en-US"/>
        </w:rPr>
        <w:t xml:space="preserve"> </w:t>
      </w:r>
      <w:r w:rsidRPr="000275CD">
        <w:rPr>
          <w:noProof/>
          <w:sz w:val="22"/>
          <w:szCs w:val="22"/>
          <w:lang w:eastAsia="en-GB"/>
        </w:rPr>
        <w:t xml:space="preserve">(2025a), </w:t>
      </w:r>
      <w:r w:rsidRPr="000275CD">
        <w:rPr>
          <w:i/>
          <w:iCs/>
          <w:noProof/>
          <w:sz w:val="22"/>
          <w:szCs w:val="22"/>
          <w:lang w:eastAsia="en-GB"/>
        </w:rPr>
        <w:t>Press release of 23 July 2025.</w:t>
      </w:r>
    </w:p>
    <w:p w14:paraId="749DBB73" w14:textId="4CD5519C" w:rsidR="00E51455" w:rsidRPr="000275CD" w:rsidRDefault="00E51455" w:rsidP="00E51455">
      <w:pPr>
        <w:spacing w:after="120"/>
        <w:rPr>
          <w:rFonts w:eastAsiaTheme="minorEastAsia" w:cstheme="minorBidi"/>
          <w:noProof/>
          <w:sz w:val="22"/>
          <w:szCs w:val="22"/>
          <w:lang w:eastAsia="en-US"/>
        </w:rPr>
      </w:pPr>
      <w:r w:rsidRPr="557695FE">
        <w:rPr>
          <w:rFonts w:eastAsiaTheme="minorEastAsia" w:cstheme="minorBidi"/>
          <w:noProof/>
          <w:sz w:val="22"/>
          <w:szCs w:val="22"/>
          <w:lang w:eastAsia="en-US"/>
        </w:rPr>
        <w:t xml:space="preserve">Association of </w:t>
      </w:r>
      <w:r w:rsidR="1C5D5909" w:rsidRPr="5C60926A">
        <w:rPr>
          <w:rFonts w:eastAsiaTheme="minorEastAsia" w:cstheme="minorBidi"/>
          <w:noProof/>
          <w:sz w:val="22"/>
          <w:szCs w:val="22"/>
          <w:lang w:eastAsia="en-US"/>
        </w:rPr>
        <w:t>J</w:t>
      </w:r>
      <w:r w:rsidRPr="557695FE">
        <w:rPr>
          <w:rFonts w:eastAsiaTheme="minorEastAsia" w:cstheme="minorBidi"/>
          <w:noProof/>
          <w:sz w:val="22"/>
          <w:szCs w:val="22"/>
          <w:lang w:eastAsia="en-US"/>
        </w:rPr>
        <w:t xml:space="preserve">udges and </w:t>
      </w:r>
      <w:r w:rsidR="004032AA">
        <w:rPr>
          <w:rFonts w:eastAsiaTheme="minorEastAsia" w:cstheme="minorBidi"/>
          <w:noProof/>
          <w:sz w:val="22"/>
          <w:szCs w:val="22"/>
          <w:lang w:eastAsia="en-US"/>
        </w:rPr>
        <w:t>P</w:t>
      </w:r>
      <w:r w:rsidRPr="557695FE">
        <w:rPr>
          <w:rFonts w:eastAsiaTheme="minorEastAsia" w:cstheme="minorBidi"/>
          <w:noProof/>
          <w:sz w:val="22"/>
          <w:szCs w:val="22"/>
          <w:lang w:eastAsia="en-US"/>
        </w:rPr>
        <w:t xml:space="preserve">rosecutors (2025b), </w:t>
      </w:r>
      <w:r w:rsidRPr="557695FE">
        <w:rPr>
          <w:rFonts w:eastAsiaTheme="minorEastAsia" w:cstheme="minorBidi"/>
          <w:i/>
          <w:noProof/>
          <w:sz w:val="22"/>
          <w:szCs w:val="22"/>
          <w:lang w:eastAsia="en-US"/>
        </w:rPr>
        <w:t>Statement of 21 November 2025.</w:t>
      </w:r>
      <w:r w:rsidRPr="557695FE">
        <w:rPr>
          <w:rFonts w:eastAsiaTheme="minorEastAsia" w:cstheme="minorBidi"/>
          <w:noProof/>
          <w:sz w:val="22"/>
          <w:szCs w:val="22"/>
          <w:lang w:eastAsia="en-US"/>
        </w:rPr>
        <w:t xml:space="preserve"> </w:t>
      </w:r>
    </w:p>
    <w:p w14:paraId="622D139A" w14:textId="77777777" w:rsidR="00E51455" w:rsidRPr="000275CD" w:rsidRDefault="00E51455" w:rsidP="00E51455">
      <w:pPr>
        <w:spacing w:after="120"/>
        <w:rPr>
          <w:rFonts w:eastAsiaTheme="minorHAnsi" w:cstheme="minorBidi"/>
          <w:i/>
          <w:iCs/>
          <w:noProof/>
          <w:sz w:val="22"/>
          <w:szCs w:val="22"/>
          <w:lang w:eastAsia="en-US"/>
        </w:rPr>
      </w:pPr>
      <w:r w:rsidRPr="000275CD">
        <w:rPr>
          <w:noProof/>
          <w:sz w:val="22"/>
          <w:szCs w:val="22"/>
          <w:lang w:eastAsia="en-GB"/>
        </w:rPr>
        <w:t>Association of Judges and Prosecutors</w:t>
      </w:r>
      <w:r w:rsidRPr="000275CD">
        <w:rPr>
          <w:rFonts w:eastAsiaTheme="minorHAnsi" w:cstheme="minorBidi"/>
          <w:noProof/>
          <w:sz w:val="22"/>
          <w:szCs w:val="22"/>
          <w:lang w:eastAsia="en-US"/>
        </w:rPr>
        <w:t xml:space="preserve"> </w:t>
      </w:r>
      <w:r w:rsidRPr="000275CD">
        <w:rPr>
          <w:noProof/>
          <w:sz w:val="22"/>
          <w:szCs w:val="22"/>
          <w:lang w:eastAsia="en-GB"/>
        </w:rPr>
        <w:t xml:space="preserve">(2025c), </w:t>
      </w:r>
      <w:r w:rsidRPr="000275CD">
        <w:rPr>
          <w:rFonts w:eastAsiaTheme="minorHAnsi" w:cstheme="minorBidi"/>
          <w:i/>
          <w:iCs/>
          <w:noProof/>
          <w:sz w:val="22"/>
          <w:szCs w:val="22"/>
          <w:lang w:eastAsia="en-US"/>
        </w:rPr>
        <w:t>Press release of 25 November 2025.</w:t>
      </w:r>
    </w:p>
    <w:p w14:paraId="7655D947"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Association of Judges and Prosecutors (2026), </w:t>
      </w:r>
      <w:r w:rsidRPr="000275CD">
        <w:rPr>
          <w:i/>
          <w:iCs/>
          <w:noProof/>
          <w:sz w:val="22"/>
          <w:szCs w:val="22"/>
          <w:lang w:eastAsia="en-GB"/>
        </w:rPr>
        <w:t>Press release of 16 April 2026</w:t>
      </w:r>
      <w:r w:rsidRPr="000275CD">
        <w:rPr>
          <w:noProof/>
          <w:sz w:val="22"/>
          <w:szCs w:val="22"/>
          <w:lang w:eastAsia="en-GB"/>
        </w:rPr>
        <w:t>.</w:t>
      </w:r>
    </w:p>
    <w:p w14:paraId="567D6CEE"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Association of Judges of the Court of Audit (2026), </w:t>
      </w:r>
      <w:r w:rsidRPr="000275CD">
        <w:rPr>
          <w:i/>
          <w:noProof/>
          <w:sz w:val="22"/>
          <w:szCs w:val="22"/>
          <w:lang w:eastAsia="en-GB"/>
        </w:rPr>
        <w:t xml:space="preserve">Written input </w:t>
      </w:r>
      <w:r w:rsidRPr="000275CD">
        <w:rPr>
          <w:i/>
          <w:iCs/>
          <w:noProof/>
          <w:sz w:val="22"/>
          <w:szCs w:val="22"/>
          <w:lang w:eastAsia="en-GB"/>
        </w:rPr>
        <w:t>for the 2026 Rule of Law Report</w:t>
      </w:r>
      <w:r w:rsidRPr="000275CD">
        <w:rPr>
          <w:i/>
          <w:noProof/>
          <w:sz w:val="22"/>
          <w:szCs w:val="22"/>
          <w:lang w:eastAsia="en-GB"/>
        </w:rPr>
        <w:t xml:space="preserve"> in the context of the country visit to Greece.</w:t>
      </w:r>
    </w:p>
    <w:p w14:paraId="24C8D548" w14:textId="77777777" w:rsidR="00E51455" w:rsidRPr="000275CD" w:rsidRDefault="00E51455" w:rsidP="00E51455">
      <w:pPr>
        <w:spacing w:after="120"/>
        <w:rPr>
          <w:rFonts w:eastAsiaTheme="minorHAnsi" w:cstheme="minorBidi"/>
          <w:noProof/>
          <w:sz w:val="22"/>
          <w:szCs w:val="22"/>
          <w:lang w:eastAsia="en-US"/>
        </w:rPr>
      </w:pPr>
      <w:r w:rsidRPr="000275CD">
        <w:rPr>
          <w:rFonts w:eastAsiaTheme="minorHAnsi" w:cstheme="minorBidi"/>
          <w:noProof/>
          <w:sz w:val="22"/>
          <w:szCs w:val="22"/>
          <w:lang w:eastAsia="en-US"/>
        </w:rPr>
        <w:t>Association of Prosecutors (2026), Press release of 8 April 2026.</w:t>
      </w:r>
    </w:p>
    <w:p w14:paraId="47AAF76F" w14:textId="77777777" w:rsidR="00E51455" w:rsidRPr="000275CD" w:rsidRDefault="00E51455" w:rsidP="00E51455">
      <w:pPr>
        <w:spacing w:after="120"/>
        <w:rPr>
          <w:noProof/>
          <w:sz w:val="22"/>
          <w:szCs w:val="22"/>
          <w:lang w:eastAsia="en-GB"/>
        </w:rPr>
      </w:pPr>
      <w:r w:rsidRPr="000275CD">
        <w:rPr>
          <w:rFonts w:eastAsiaTheme="minorHAnsi" w:cstheme="minorBidi"/>
          <w:noProof/>
          <w:sz w:val="22"/>
          <w:szCs w:val="22"/>
          <w:lang w:eastAsia="en-US"/>
        </w:rPr>
        <w:t xml:space="preserve">Athens Bar Association (2026), </w:t>
      </w:r>
      <w:r w:rsidRPr="000275CD">
        <w:rPr>
          <w:rFonts w:eastAsiaTheme="minorHAnsi" w:cstheme="minorBidi"/>
          <w:i/>
          <w:iCs/>
          <w:noProof/>
          <w:sz w:val="22"/>
          <w:szCs w:val="22"/>
          <w:lang w:eastAsia="en-US"/>
        </w:rPr>
        <w:t>Statement on the Chios deadly shipwreck.</w:t>
      </w:r>
      <w:r w:rsidRPr="000275CD">
        <w:rPr>
          <w:noProof/>
          <w:sz w:val="22"/>
          <w:szCs w:val="22"/>
          <w:lang w:eastAsia="en-GB"/>
        </w:rPr>
        <w:t xml:space="preserve">  </w:t>
      </w:r>
    </w:p>
    <w:p w14:paraId="04E333B8"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Bodossaki Foundation (2025), </w:t>
      </w:r>
      <w:r w:rsidRPr="000275CD">
        <w:rPr>
          <w:i/>
          <w:noProof/>
          <w:sz w:val="22"/>
          <w:szCs w:val="22"/>
          <w:lang w:eastAsia="en-GB"/>
        </w:rPr>
        <w:t xml:space="preserve">Action Plan for Civil Society, </w:t>
      </w:r>
      <w:hyperlink r:id="rId23" w:history="1">
        <w:r w:rsidRPr="000275CD">
          <w:rPr>
            <w:iCs/>
            <w:noProof/>
            <w:color w:val="0563C1" w:themeColor="hyperlink"/>
            <w:sz w:val="22"/>
            <w:szCs w:val="22"/>
            <w:u w:val="single"/>
            <w:lang w:eastAsia="en-GB"/>
          </w:rPr>
          <w:t>https://www.bodossaki.gr/wp-content/uploads/2025/03/ACTION-PLAN-FOR-CIVIL-SOCIETY-IN-GREECE.pdf</w:t>
        </w:r>
      </w:hyperlink>
      <w:r w:rsidRPr="000275CD">
        <w:rPr>
          <w:iCs/>
          <w:noProof/>
          <w:sz w:val="22"/>
          <w:szCs w:val="22"/>
          <w:lang w:eastAsia="en-GB"/>
        </w:rPr>
        <w:t>.</w:t>
      </w:r>
      <w:r w:rsidRPr="000275CD">
        <w:rPr>
          <w:noProof/>
          <w:sz w:val="22"/>
          <w:szCs w:val="22"/>
          <w:lang w:eastAsia="en-GB"/>
        </w:rPr>
        <w:t xml:space="preserve"> </w:t>
      </w:r>
    </w:p>
    <w:p w14:paraId="1B43DDE2"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Centre for European Constitutional Law (2026), </w:t>
      </w:r>
      <w:r w:rsidRPr="000275CD">
        <w:rPr>
          <w:i/>
          <w:iCs/>
          <w:noProof/>
          <w:sz w:val="22"/>
          <w:szCs w:val="22"/>
          <w:lang w:eastAsia="en-GB"/>
        </w:rPr>
        <w:t>Input for the 2026 Rule of Law Report.</w:t>
      </w:r>
    </w:p>
    <w:p w14:paraId="15A3D7E2" w14:textId="77777777" w:rsidR="00E51455" w:rsidRPr="000275CD" w:rsidRDefault="00E51455" w:rsidP="00E51455">
      <w:pPr>
        <w:spacing w:after="120"/>
        <w:rPr>
          <w:noProof/>
          <w:sz w:val="22"/>
          <w:szCs w:val="22"/>
          <w:lang w:eastAsia="en-GB"/>
        </w:rPr>
      </w:pPr>
      <w:r w:rsidRPr="000275CD">
        <w:rPr>
          <w:noProof/>
          <w:sz w:val="22"/>
          <w:szCs w:val="22"/>
          <w:lang w:eastAsia="en-GB"/>
        </w:rPr>
        <w:t>Civicus (2026), Monitor tracking civic space – Greece, https://monitor.civicus.org/country/greece/.</w:t>
      </w:r>
    </w:p>
    <w:p w14:paraId="499DB618"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Civil Liberties Union for Europe (2026), </w:t>
      </w:r>
      <w:r w:rsidRPr="000275CD">
        <w:rPr>
          <w:i/>
          <w:iCs/>
          <w:noProof/>
          <w:sz w:val="22"/>
          <w:szCs w:val="22"/>
          <w:lang w:eastAsia="en-GB"/>
        </w:rPr>
        <w:t>Liberties Rule of Law Report 2026</w:t>
      </w:r>
      <w:r w:rsidRPr="000275CD">
        <w:rPr>
          <w:noProof/>
          <w:sz w:val="22"/>
          <w:szCs w:val="22"/>
          <w:lang w:eastAsia="en-GB"/>
        </w:rPr>
        <w:t>, Greece.</w:t>
      </w:r>
    </w:p>
    <w:p w14:paraId="206A4795" w14:textId="38122DB7" w:rsidR="008E7C65" w:rsidRPr="000275CD" w:rsidRDefault="008E7C65" w:rsidP="008E7C65">
      <w:pPr>
        <w:spacing w:after="120"/>
        <w:rPr>
          <w:i/>
          <w:iCs/>
          <w:noProof/>
          <w:sz w:val="22"/>
          <w:szCs w:val="22"/>
          <w:lang w:eastAsia="en-GB"/>
        </w:rPr>
      </w:pPr>
      <w:r>
        <w:rPr>
          <w:noProof/>
          <w:sz w:val="22"/>
          <w:szCs w:val="22"/>
          <w:lang w:eastAsia="en-GB"/>
        </w:rPr>
        <w:t>Civil Society (</w:t>
      </w:r>
      <w:r w:rsidR="00C06235">
        <w:rPr>
          <w:noProof/>
          <w:sz w:val="22"/>
          <w:szCs w:val="22"/>
          <w:lang w:eastAsia="en-GB"/>
        </w:rPr>
        <w:t xml:space="preserve">2023), </w:t>
      </w:r>
      <w:r w:rsidR="00C06235" w:rsidRPr="00C06235">
        <w:rPr>
          <w:i/>
          <w:iCs/>
          <w:noProof/>
          <w:sz w:val="22"/>
          <w:szCs w:val="22"/>
          <w:lang w:eastAsia="en-GB"/>
        </w:rPr>
        <w:t xml:space="preserve">Input from </w:t>
      </w:r>
      <w:r w:rsidRPr="00C06235">
        <w:rPr>
          <w:i/>
          <w:iCs/>
          <w:noProof/>
          <w:sz w:val="22"/>
          <w:szCs w:val="22"/>
          <w:lang w:eastAsia="en-GB"/>
        </w:rPr>
        <w:t xml:space="preserve">Vouliwatch, Greek Council for Refugees, Refugee Support Aegean, HIAS Greece, Generation 2.0 for Rights, Equality and Diversity, Reporters United </w:t>
      </w:r>
      <w:r w:rsidR="00C06235" w:rsidRPr="00C06235">
        <w:rPr>
          <w:i/>
          <w:iCs/>
          <w:noProof/>
          <w:sz w:val="22"/>
          <w:szCs w:val="22"/>
          <w:lang w:eastAsia="en-GB"/>
        </w:rPr>
        <w:t xml:space="preserve">for </w:t>
      </w:r>
      <w:r w:rsidRPr="00C06235">
        <w:rPr>
          <w:i/>
          <w:iCs/>
          <w:noProof/>
          <w:sz w:val="22"/>
          <w:szCs w:val="22"/>
          <w:lang w:eastAsia="en-GB"/>
        </w:rPr>
        <w:t xml:space="preserve">the </w:t>
      </w:r>
      <w:r w:rsidR="00C06235" w:rsidRPr="00C06235">
        <w:rPr>
          <w:i/>
          <w:iCs/>
          <w:noProof/>
          <w:sz w:val="22"/>
          <w:szCs w:val="22"/>
          <w:lang w:eastAsia="en-GB"/>
        </w:rPr>
        <w:t xml:space="preserve">2023 </w:t>
      </w:r>
      <w:r w:rsidRPr="00C06235">
        <w:rPr>
          <w:i/>
          <w:iCs/>
          <w:noProof/>
          <w:sz w:val="22"/>
          <w:szCs w:val="22"/>
          <w:lang w:eastAsia="en-GB"/>
        </w:rPr>
        <w:t>Rule of Law Report.</w:t>
      </w:r>
    </w:p>
    <w:p w14:paraId="425F8B03" w14:textId="2C70A2C5" w:rsidR="00E51455" w:rsidRPr="000275CD" w:rsidRDefault="00E51455" w:rsidP="00E51455">
      <w:pPr>
        <w:spacing w:after="120"/>
        <w:rPr>
          <w:i/>
          <w:noProof/>
          <w:sz w:val="22"/>
          <w:szCs w:val="22"/>
          <w:lang w:eastAsia="en-GB"/>
        </w:rPr>
      </w:pPr>
      <w:r w:rsidRPr="000275CD">
        <w:rPr>
          <w:noProof/>
          <w:sz w:val="22"/>
          <w:szCs w:val="22"/>
          <w:lang w:eastAsia="en-GB"/>
        </w:rPr>
        <w:t xml:space="preserve">Civil Society (2025), </w:t>
      </w:r>
      <w:r w:rsidR="00C06235">
        <w:rPr>
          <w:i/>
          <w:noProof/>
          <w:sz w:val="22"/>
          <w:szCs w:val="22"/>
          <w:lang w:eastAsia="en-GB"/>
        </w:rPr>
        <w:t>I</w:t>
      </w:r>
      <w:r w:rsidRPr="000275CD">
        <w:rPr>
          <w:i/>
          <w:noProof/>
          <w:sz w:val="22"/>
          <w:szCs w:val="22"/>
          <w:lang w:eastAsia="en-GB"/>
        </w:rPr>
        <w:t>nput from the Greek Council for Refugees (GCR), Hellenic League for Human Rights, HIAS Greece, Homo Digitalis, Refugee Support Aegean (RSA), Reporters United, Solomon and Vouliwatch for the 2025 Rule of Law Report.</w:t>
      </w:r>
    </w:p>
    <w:p w14:paraId="45ED043E" w14:textId="3FE7D3FA" w:rsidR="00E51455" w:rsidRPr="000275CD" w:rsidRDefault="00E51455" w:rsidP="00E51455">
      <w:pPr>
        <w:spacing w:after="120"/>
        <w:rPr>
          <w:noProof/>
          <w:sz w:val="22"/>
          <w:szCs w:val="22"/>
          <w:lang w:eastAsia="en-GB"/>
        </w:rPr>
      </w:pPr>
      <w:r w:rsidRPr="000275CD">
        <w:rPr>
          <w:noProof/>
          <w:sz w:val="22"/>
          <w:szCs w:val="22"/>
          <w:lang w:eastAsia="en-GB"/>
        </w:rPr>
        <w:t>Civil Society (</w:t>
      </w:r>
      <w:r w:rsidR="008E7C65" w:rsidRPr="000275CD">
        <w:rPr>
          <w:noProof/>
          <w:sz w:val="22"/>
          <w:szCs w:val="22"/>
          <w:lang w:eastAsia="en-GB"/>
        </w:rPr>
        <w:t>2026</w:t>
      </w:r>
      <w:r w:rsidR="008E7C65">
        <w:rPr>
          <w:noProof/>
          <w:sz w:val="22"/>
          <w:szCs w:val="22"/>
          <w:lang w:eastAsia="en-GB"/>
        </w:rPr>
        <w:t>a</w:t>
      </w:r>
      <w:r w:rsidRPr="000275CD">
        <w:rPr>
          <w:noProof/>
          <w:sz w:val="22"/>
          <w:szCs w:val="22"/>
          <w:lang w:eastAsia="en-GB"/>
        </w:rPr>
        <w:t xml:space="preserve">), </w:t>
      </w:r>
      <w:r w:rsidRPr="000275CD">
        <w:rPr>
          <w:i/>
          <w:iCs/>
          <w:noProof/>
          <w:sz w:val="22"/>
          <w:szCs w:val="22"/>
          <w:lang w:eastAsia="en-GB"/>
        </w:rPr>
        <w:t>Input from the Greek Council for Refugees (GCR), Hellenic League for Human Rights, HIAS Greece, Homo Digitalis, Refugee Support Aegean (RSA), Reporters United, Solomon and Vouliwatch for the 2026 Rule of Law Report</w:t>
      </w:r>
      <w:r w:rsidRPr="000275CD">
        <w:rPr>
          <w:noProof/>
          <w:sz w:val="22"/>
          <w:szCs w:val="22"/>
          <w:lang w:eastAsia="en-GB"/>
        </w:rPr>
        <w:t xml:space="preserve">. </w:t>
      </w:r>
    </w:p>
    <w:p w14:paraId="30C89764" w14:textId="3BBBF975" w:rsidR="00E51455" w:rsidRDefault="00E51455" w:rsidP="00E51455">
      <w:pPr>
        <w:spacing w:after="120"/>
        <w:rPr>
          <w:noProof/>
          <w:sz w:val="22"/>
          <w:szCs w:val="22"/>
          <w:lang w:eastAsia="en-GB"/>
        </w:rPr>
      </w:pPr>
      <w:r w:rsidRPr="000275CD">
        <w:rPr>
          <w:noProof/>
          <w:sz w:val="22"/>
          <w:szCs w:val="22"/>
          <w:lang w:eastAsia="en-GB"/>
        </w:rPr>
        <w:t>Civil Society (</w:t>
      </w:r>
      <w:r w:rsidR="008E7C65" w:rsidRPr="000275CD">
        <w:rPr>
          <w:noProof/>
          <w:sz w:val="22"/>
          <w:szCs w:val="22"/>
          <w:lang w:eastAsia="en-GB"/>
        </w:rPr>
        <w:t>2026</w:t>
      </w:r>
      <w:r w:rsidR="008E7C65">
        <w:rPr>
          <w:noProof/>
          <w:sz w:val="22"/>
          <w:szCs w:val="22"/>
          <w:lang w:eastAsia="en-GB"/>
        </w:rPr>
        <w:t>b</w:t>
      </w:r>
      <w:r w:rsidRPr="000275CD">
        <w:rPr>
          <w:noProof/>
          <w:sz w:val="22"/>
          <w:szCs w:val="22"/>
          <w:lang w:eastAsia="en-GB"/>
        </w:rPr>
        <w:t xml:space="preserve">), </w:t>
      </w:r>
      <w:r w:rsidRPr="000275CD">
        <w:rPr>
          <w:i/>
          <w:iCs/>
          <w:noProof/>
          <w:sz w:val="22"/>
          <w:szCs w:val="22"/>
          <w:lang w:eastAsia="en-GB"/>
        </w:rPr>
        <w:t>Additional written input from the Greek Council for Refugees (GCR), Hellenic League for Human Rights, HIAS Greece, Homo Digitalis, Refugee Support Aegean (RSA), Reporters United, Solomon and Vouliwatch for the 2026 Rule of Law Report</w:t>
      </w:r>
      <w:r w:rsidRPr="000275CD">
        <w:rPr>
          <w:noProof/>
          <w:sz w:val="22"/>
          <w:szCs w:val="22"/>
          <w:lang w:eastAsia="en-GB"/>
        </w:rPr>
        <w:t>.</w:t>
      </w:r>
    </w:p>
    <w:p w14:paraId="5ED9B7CE" w14:textId="4AA953CC" w:rsidR="00C06235" w:rsidRPr="000275CD" w:rsidRDefault="0002406C" w:rsidP="00E51455">
      <w:pPr>
        <w:spacing w:after="120"/>
        <w:rPr>
          <w:i/>
          <w:iCs/>
          <w:noProof/>
          <w:sz w:val="22"/>
          <w:szCs w:val="22"/>
          <w:lang w:eastAsia="en-GB"/>
        </w:rPr>
      </w:pPr>
      <w:r w:rsidRPr="000275CD">
        <w:rPr>
          <w:noProof/>
          <w:sz w:val="22"/>
          <w:szCs w:val="22"/>
          <w:lang w:eastAsia="en-GB"/>
        </w:rPr>
        <w:t>Civil Society (2026</w:t>
      </w:r>
      <w:r>
        <w:rPr>
          <w:noProof/>
          <w:sz w:val="22"/>
          <w:szCs w:val="22"/>
          <w:lang w:eastAsia="en-GB"/>
        </w:rPr>
        <w:t>c</w:t>
      </w:r>
      <w:r w:rsidRPr="000275CD">
        <w:rPr>
          <w:noProof/>
          <w:sz w:val="22"/>
          <w:szCs w:val="22"/>
          <w:lang w:eastAsia="en-GB"/>
        </w:rPr>
        <w:t xml:space="preserve">), </w:t>
      </w:r>
      <w:r w:rsidRPr="0002406C">
        <w:rPr>
          <w:i/>
          <w:iCs/>
          <w:noProof/>
          <w:sz w:val="22"/>
          <w:szCs w:val="22"/>
          <w:lang w:eastAsia="en-GB"/>
        </w:rPr>
        <w:t>Second additional</w:t>
      </w:r>
      <w:r w:rsidRPr="000275CD">
        <w:rPr>
          <w:i/>
          <w:iCs/>
          <w:noProof/>
          <w:sz w:val="22"/>
          <w:szCs w:val="22"/>
          <w:lang w:eastAsia="en-GB"/>
        </w:rPr>
        <w:t xml:space="preserve"> written input from the Greek Council for Refugees (GCR), Hellenic League for Human Rights, HIAS Greece, Homo Digitalis, Refugee Support Aegean (RSA), Reporters United, Solomon and Vouliwatch for the 2026 Rule of Law Report</w:t>
      </w:r>
      <w:r w:rsidRPr="000275CD">
        <w:rPr>
          <w:noProof/>
          <w:sz w:val="22"/>
          <w:szCs w:val="22"/>
          <w:lang w:eastAsia="en-GB"/>
        </w:rPr>
        <w:t>.</w:t>
      </w:r>
    </w:p>
    <w:p w14:paraId="1A649B24"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Council of Bars and Law Societies of Europe (CCBE) (2026), </w:t>
      </w:r>
      <w:r w:rsidRPr="000275CD">
        <w:rPr>
          <w:i/>
          <w:iCs/>
          <w:noProof/>
          <w:sz w:val="22"/>
          <w:szCs w:val="22"/>
          <w:lang w:eastAsia="en-GB"/>
        </w:rPr>
        <w:t>Input for the 2026 Rule of Law Report.</w:t>
      </w:r>
    </w:p>
    <w:p w14:paraId="20A07651" w14:textId="32A2DB2F" w:rsidR="00E51455" w:rsidRPr="000275CD" w:rsidRDefault="00E51455" w:rsidP="00E51455">
      <w:pPr>
        <w:spacing w:after="120"/>
        <w:rPr>
          <w:rFonts w:eastAsiaTheme="minorHAnsi" w:cstheme="minorBidi"/>
          <w:noProof/>
          <w:sz w:val="22"/>
          <w:szCs w:val="22"/>
          <w:lang w:eastAsia="en-US"/>
        </w:rPr>
      </w:pPr>
      <w:r w:rsidRPr="000275CD">
        <w:rPr>
          <w:noProof/>
          <w:sz w:val="22"/>
          <w:szCs w:val="22"/>
          <w:lang w:eastAsia="en-GB"/>
        </w:rPr>
        <w:t xml:space="preserve">Council of Europe: Committee of Ministers (2025a), </w:t>
      </w:r>
      <w:r w:rsidRPr="000275CD">
        <w:rPr>
          <w:rFonts w:eastAsiaTheme="minorHAnsi" w:cstheme="minorBidi"/>
          <w:noProof/>
          <w:sz w:val="22"/>
          <w:szCs w:val="22"/>
          <w:lang w:eastAsia="en-US"/>
        </w:rPr>
        <w:t xml:space="preserve">CM/Del/Dec(2025)1545/H46-18 - 1545th meeting (2-4 December 2025) (DH) - H46-18 Bekir-Ousta and Others group v. Greece (Application No. 35151/05), </w:t>
      </w:r>
      <w:hyperlink r:id="rId24" w:history="1">
        <w:r w:rsidRPr="000275CD">
          <w:rPr>
            <w:rFonts w:eastAsiaTheme="minorHAnsi" w:cstheme="minorBidi"/>
            <w:noProof/>
            <w:color w:val="0563C1" w:themeColor="hyperlink"/>
            <w:sz w:val="22"/>
            <w:szCs w:val="22"/>
            <w:u w:val="single"/>
            <w:lang w:eastAsia="en-US"/>
          </w:rPr>
          <w:t>https://search.coe.int/cm?i=09125948802992af</w:t>
        </w:r>
      </w:hyperlink>
      <w:r w:rsidRPr="000275CD">
        <w:rPr>
          <w:rFonts w:eastAsiaTheme="minorHAnsi" w:cstheme="minorBidi"/>
          <w:noProof/>
          <w:sz w:val="22"/>
          <w:szCs w:val="22"/>
          <w:lang w:eastAsia="en-US"/>
        </w:rPr>
        <w:t xml:space="preserve">. </w:t>
      </w:r>
    </w:p>
    <w:p w14:paraId="46E7CAC8"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Council of Europe: Committee of Ministers (2025b), </w:t>
      </w:r>
      <w:r w:rsidRPr="000275CD">
        <w:rPr>
          <w:i/>
          <w:iCs/>
          <w:noProof/>
          <w:sz w:val="22"/>
          <w:szCs w:val="22"/>
          <w:lang w:eastAsia="en-GB"/>
        </w:rPr>
        <w:t>DH-DD(2025)1506 - 1553rd meeting (March 2026) (DH) - Action report (17/12/2025) - Communication from Greece concerning the groups of cases of Sidiropoulos and Papakostas v. Greece (Application No. 33349/10) and Alkhatib and Others v. Greece (Application No. 3566/16),</w:t>
      </w:r>
      <w:r w:rsidRPr="000275CD">
        <w:rPr>
          <w:noProof/>
          <w:sz w:val="22"/>
          <w:szCs w:val="22"/>
          <w:lang w:eastAsia="en-GB"/>
        </w:rPr>
        <w:t xml:space="preserve"> </w:t>
      </w:r>
      <w:hyperlink r:id="rId25" w:history="1">
        <w:r w:rsidRPr="000275CD">
          <w:rPr>
            <w:noProof/>
            <w:color w:val="0563C1" w:themeColor="hyperlink"/>
            <w:sz w:val="22"/>
            <w:szCs w:val="22"/>
            <w:u w:val="single"/>
            <w:lang w:eastAsia="en-GB"/>
          </w:rPr>
          <w:t>https://search.coe.int/cm?i=091259488029dd24</w:t>
        </w:r>
      </w:hyperlink>
      <w:r w:rsidRPr="000275CD">
        <w:rPr>
          <w:noProof/>
          <w:sz w:val="22"/>
          <w:szCs w:val="22"/>
          <w:lang w:eastAsia="en-GB"/>
        </w:rPr>
        <w:t xml:space="preserve">.  </w:t>
      </w:r>
    </w:p>
    <w:p w14:paraId="455B2DD4" w14:textId="77777777" w:rsidR="00E51455" w:rsidRPr="000275CD" w:rsidRDefault="00E51455" w:rsidP="00E51455">
      <w:pPr>
        <w:spacing w:after="120"/>
        <w:rPr>
          <w:rFonts w:eastAsiaTheme="minorHAnsi" w:cstheme="minorBidi"/>
          <w:noProof/>
          <w:sz w:val="22"/>
          <w:szCs w:val="22"/>
          <w:lang w:eastAsia="en-US"/>
        </w:rPr>
      </w:pPr>
      <w:r w:rsidRPr="000275CD">
        <w:rPr>
          <w:noProof/>
          <w:sz w:val="22"/>
          <w:szCs w:val="22"/>
          <w:lang w:eastAsia="en-GB"/>
        </w:rPr>
        <w:t xml:space="preserve">Council of Europe: Committee of Ministers (2026), </w:t>
      </w:r>
      <w:r w:rsidRPr="000275CD">
        <w:rPr>
          <w:rFonts w:eastAsiaTheme="minorHAnsi" w:cstheme="minorBidi"/>
          <w:i/>
          <w:iCs/>
          <w:noProof/>
          <w:sz w:val="22"/>
          <w:szCs w:val="22"/>
          <w:lang w:eastAsia="en-US"/>
        </w:rPr>
        <w:t>CM/Del/Dec(2026)1553/H46-19 - 1553rd meeting (9-11 March 2026) (DH) - H46-19 Sidiropoulos and Papakostas and Alkhatib and Others groups v. Greece</w:t>
      </w:r>
      <w:r w:rsidRPr="000275CD">
        <w:rPr>
          <w:rFonts w:eastAsiaTheme="minorHAnsi" w:cstheme="minorBidi"/>
          <w:noProof/>
          <w:sz w:val="22"/>
          <w:szCs w:val="22"/>
          <w:lang w:eastAsia="en-US"/>
        </w:rPr>
        <w:t xml:space="preserve">, (Applications Nos. 33349/10, 3566/16) </w:t>
      </w:r>
      <w:hyperlink r:id="rId26" w:history="1">
        <w:r w:rsidRPr="000275CD">
          <w:rPr>
            <w:rFonts w:eastAsiaTheme="minorHAnsi" w:cstheme="minorBidi"/>
            <w:noProof/>
            <w:color w:val="0563C1" w:themeColor="hyperlink"/>
            <w:sz w:val="22"/>
            <w:szCs w:val="22"/>
            <w:u w:val="single"/>
            <w:lang w:eastAsia="en-US"/>
          </w:rPr>
          <w:t>https://search.coe.int/cm?i=09125948802aca97</w:t>
        </w:r>
      </w:hyperlink>
      <w:r w:rsidRPr="000275CD">
        <w:rPr>
          <w:rFonts w:eastAsiaTheme="minorHAnsi" w:cstheme="minorBidi"/>
          <w:noProof/>
          <w:sz w:val="22"/>
          <w:szCs w:val="22"/>
          <w:lang w:eastAsia="en-US"/>
        </w:rPr>
        <w:t xml:space="preserve">. </w:t>
      </w:r>
    </w:p>
    <w:p w14:paraId="55F9E951" w14:textId="77777777" w:rsidR="00E51455" w:rsidRPr="000275CD" w:rsidRDefault="00E51455" w:rsidP="00E51455">
      <w:pPr>
        <w:spacing w:after="120"/>
        <w:rPr>
          <w:i/>
          <w:iCs/>
          <w:noProof/>
          <w:sz w:val="22"/>
          <w:szCs w:val="22"/>
          <w:lang w:eastAsia="en-GB"/>
        </w:rPr>
      </w:pPr>
      <w:r w:rsidRPr="000275CD">
        <w:rPr>
          <w:noProof/>
          <w:sz w:val="22"/>
          <w:szCs w:val="22"/>
          <w:lang w:eastAsia="en-GB"/>
        </w:rPr>
        <w:t>Council of Europe: Conference of INGOs (2025),</w:t>
      </w:r>
      <w:r w:rsidRPr="000275CD">
        <w:rPr>
          <w:i/>
          <w:noProof/>
          <w:sz w:val="22"/>
          <w:szCs w:val="22"/>
          <w:lang w:eastAsia="en-GB"/>
        </w:rPr>
        <w:t xml:space="preserve"> Letter from the President of the Conference of INGOs and the President of its Expert Council on NGO Law to the Permanent Representative of Greece to the Council of Europe, https://rm.coe.int/cingo-letter-to-ambassador-nicolas-sigalas-situation-in-greece-05-09-2/4880283f89.</w:t>
      </w:r>
    </w:p>
    <w:p w14:paraId="6F78B751"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Council of Europe: Expert Council on NGO Law (2026), </w:t>
      </w:r>
      <w:r w:rsidRPr="000275CD">
        <w:rPr>
          <w:i/>
          <w:iCs/>
          <w:noProof/>
          <w:sz w:val="22"/>
          <w:szCs w:val="22"/>
          <w:lang w:eastAsia="en-GB"/>
        </w:rPr>
        <w:t xml:space="preserve">Opinion on the law of Greece “Law on the promotion of legal migration policies”, </w:t>
      </w:r>
      <w:hyperlink r:id="rId27" w:history="1">
        <w:r w:rsidRPr="000275CD">
          <w:rPr>
            <w:i/>
            <w:iCs/>
            <w:noProof/>
            <w:color w:val="0563C1" w:themeColor="hyperlink"/>
            <w:sz w:val="22"/>
            <w:szCs w:val="22"/>
            <w:u w:val="single"/>
            <w:lang w:eastAsia="en-GB"/>
          </w:rPr>
          <w:t>https://rm.coe.int/coe-expert-council-greece-opinion-march-2026/48802affcd</w:t>
        </w:r>
      </w:hyperlink>
      <w:r w:rsidRPr="000275CD">
        <w:rPr>
          <w:i/>
          <w:iCs/>
          <w:noProof/>
          <w:sz w:val="22"/>
          <w:szCs w:val="22"/>
          <w:lang w:eastAsia="en-GB"/>
        </w:rPr>
        <w:t xml:space="preserve">.  </w:t>
      </w:r>
    </w:p>
    <w:p w14:paraId="051D980A" w14:textId="77777777" w:rsidR="00E51455" w:rsidRDefault="00E51455" w:rsidP="00E51455">
      <w:pPr>
        <w:spacing w:after="120"/>
        <w:rPr>
          <w:rFonts w:eastAsiaTheme="minorHAnsi"/>
          <w:noProof/>
          <w:sz w:val="22"/>
          <w:szCs w:val="22"/>
          <w:lang w:eastAsia="en-US"/>
        </w:rPr>
      </w:pPr>
      <w:r w:rsidRPr="000275CD">
        <w:rPr>
          <w:rFonts w:eastAsiaTheme="minorHAnsi"/>
          <w:noProof/>
          <w:sz w:val="22"/>
          <w:szCs w:val="22"/>
          <w:lang w:eastAsia="en-US"/>
        </w:rPr>
        <w:t xml:space="preserve">Council of Europe, </w:t>
      </w:r>
      <w:r w:rsidRPr="000275CD">
        <w:rPr>
          <w:rFonts w:eastAsiaTheme="minorHAnsi"/>
          <w:i/>
          <w:noProof/>
          <w:sz w:val="22"/>
          <w:szCs w:val="22"/>
          <w:lang w:eastAsia="en-US"/>
        </w:rPr>
        <w:t xml:space="preserve">Platform to promote the protection of journalism and safety of journalists – Greece, </w:t>
      </w:r>
      <w:hyperlink r:id="rId28" w:anchor="search" w:history="1">
        <w:r w:rsidRPr="000275CD">
          <w:rPr>
            <w:rFonts w:eastAsiaTheme="minorHAnsi"/>
            <w:noProof/>
            <w:color w:val="0563C1" w:themeColor="hyperlink"/>
            <w:sz w:val="22"/>
            <w:szCs w:val="22"/>
            <w:u w:val="single"/>
            <w:lang w:eastAsia="en-US"/>
          </w:rPr>
          <w:t>Alerts | Safety of journalists platform</w:t>
        </w:r>
      </w:hyperlink>
      <w:r w:rsidRPr="000275CD">
        <w:rPr>
          <w:rFonts w:eastAsiaTheme="minorHAnsi"/>
          <w:noProof/>
          <w:sz w:val="22"/>
          <w:szCs w:val="22"/>
          <w:lang w:eastAsia="en-US"/>
        </w:rPr>
        <w:t>.</w:t>
      </w:r>
    </w:p>
    <w:p w14:paraId="14B792AA" w14:textId="399EDBC1" w:rsidR="001F5228" w:rsidRPr="00C06235" w:rsidRDefault="001F5228" w:rsidP="00E51455">
      <w:pPr>
        <w:spacing w:after="120"/>
        <w:rPr>
          <w:noProof/>
          <w:sz w:val="22"/>
          <w:szCs w:val="22"/>
          <w:lang w:eastAsia="en-GB"/>
        </w:rPr>
      </w:pPr>
      <w:r w:rsidRPr="00BE3A3E">
        <w:rPr>
          <w:noProof/>
          <w:sz w:val="22"/>
          <w:szCs w:val="22"/>
          <w:lang w:eastAsia="en-GB"/>
        </w:rPr>
        <w:t xml:space="preserve">Council of Europe (2026), </w:t>
      </w:r>
      <w:r w:rsidRPr="007A7EA2">
        <w:rPr>
          <w:i/>
          <w:iCs/>
          <w:noProof/>
          <w:sz w:val="22"/>
          <w:szCs w:val="22"/>
          <w:lang w:eastAsia="en-GB"/>
        </w:rPr>
        <w:t>Supervision of the execution of judgments decisions of the European Court of Human Rights – 19th Annual Report of the Committee of Ministers – 2025</w:t>
      </w:r>
      <w:r w:rsidRPr="00BE3A3E">
        <w:rPr>
          <w:noProof/>
          <w:sz w:val="22"/>
          <w:szCs w:val="22"/>
          <w:lang w:eastAsia="en-GB"/>
        </w:rPr>
        <w:t xml:space="preserve">, https://rm.coe.int/2025-annual-report/48802b1633.  </w:t>
      </w:r>
    </w:p>
    <w:p w14:paraId="5B5E639D" w14:textId="77777777" w:rsidR="00E51455" w:rsidRPr="000275CD" w:rsidRDefault="00E51455" w:rsidP="00E51455">
      <w:pPr>
        <w:spacing w:after="120"/>
        <w:rPr>
          <w:rFonts w:eastAsiaTheme="minorHAnsi" w:cstheme="minorBidi"/>
          <w:noProof/>
          <w:sz w:val="22"/>
          <w:szCs w:val="22"/>
          <w:lang w:eastAsia="en-US"/>
        </w:rPr>
      </w:pPr>
      <w:r w:rsidRPr="000275CD">
        <w:rPr>
          <w:noProof/>
          <w:sz w:val="22"/>
          <w:szCs w:val="22"/>
          <w:lang w:eastAsia="en-GB"/>
        </w:rPr>
        <w:t xml:space="preserve">Council of Europe: Venice Commission (2019), </w:t>
      </w:r>
      <w:r w:rsidRPr="000275CD">
        <w:rPr>
          <w:rFonts w:eastAsiaTheme="minorHAnsi" w:cstheme="minorBidi"/>
          <w:i/>
          <w:iCs/>
          <w:noProof/>
          <w:sz w:val="22"/>
          <w:szCs w:val="22"/>
          <w:lang w:eastAsia="en-US"/>
        </w:rPr>
        <w:t>Principles on the Protection and Promotion of the Ombudsman Institution ("The Venice Principles"),</w:t>
      </w:r>
      <w:r w:rsidRPr="000275CD">
        <w:rPr>
          <w:rFonts w:eastAsiaTheme="minorHAnsi" w:cstheme="minorBidi"/>
          <w:noProof/>
          <w:sz w:val="22"/>
          <w:szCs w:val="22"/>
          <w:lang w:eastAsia="en-US"/>
        </w:rPr>
        <w:t xml:space="preserve"> CDL-AD(2019)005-e, </w:t>
      </w:r>
      <w:hyperlink r:id="rId29" w:history="1">
        <w:r w:rsidRPr="000275CD">
          <w:rPr>
            <w:rFonts w:eastAsiaTheme="minorHAnsi" w:cstheme="minorBidi"/>
            <w:noProof/>
            <w:color w:val="0563C1" w:themeColor="hyperlink"/>
            <w:sz w:val="22"/>
            <w:szCs w:val="22"/>
            <w:u w:val="single"/>
            <w:lang w:eastAsia="en-US"/>
          </w:rPr>
          <w:t>https://www.venice.coe.int/webforms/documents/?pdf=CDL-AD(2019)005-e</w:t>
        </w:r>
      </w:hyperlink>
      <w:r w:rsidRPr="000275CD">
        <w:rPr>
          <w:rFonts w:eastAsiaTheme="minorHAnsi" w:cstheme="minorBidi"/>
          <w:noProof/>
          <w:sz w:val="22"/>
          <w:szCs w:val="22"/>
          <w:lang w:eastAsia="en-US"/>
        </w:rPr>
        <w:t xml:space="preserve">. </w:t>
      </w:r>
    </w:p>
    <w:p w14:paraId="4F206FC7"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Council of Europe: Venice Commission (2025), </w:t>
      </w:r>
      <w:r w:rsidRPr="000275CD">
        <w:rPr>
          <w:i/>
          <w:iCs/>
          <w:noProof/>
          <w:sz w:val="22"/>
          <w:szCs w:val="22"/>
          <w:lang w:eastAsia="en-GB"/>
        </w:rPr>
        <w:t>Updated Compilation of Venice Commission Opinions and Reports relating to qualified majorities and anti-deadlock mechanisms in relation to the election by Parliament of Constitutional and Supreme Courts judges/presidents, Prosecutors General, members of Judicial and Prosecutorial Councils, independent/non-political bodies and Ombudspersons</w:t>
      </w:r>
      <w:r w:rsidRPr="000275CD">
        <w:rPr>
          <w:noProof/>
          <w:sz w:val="22"/>
          <w:szCs w:val="22"/>
          <w:lang w:eastAsia="en-GB"/>
        </w:rPr>
        <w:t xml:space="preserve">, CDL-PI(2025)023, </w:t>
      </w:r>
      <w:hyperlink r:id="rId30" w:history="1">
        <w:r w:rsidRPr="000275CD">
          <w:rPr>
            <w:noProof/>
            <w:color w:val="0563C1" w:themeColor="hyperlink"/>
            <w:sz w:val="22"/>
            <w:szCs w:val="22"/>
            <w:u w:val="single"/>
            <w:lang w:eastAsia="en-GB"/>
          </w:rPr>
          <w:t>https://www.coe.int/en/web/venice-commission/-/cdl-pi-2025-023-e</w:t>
        </w:r>
      </w:hyperlink>
    </w:p>
    <w:p w14:paraId="28FE31AF" w14:textId="04409862" w:rsidR="00CD24B7" w:rsidRPr="00CD24B7" w:rsidRDefault="00F10DBC" w:rsidP="00CD24B7">
      <w:pPr>
        <w:spacing w:after="120"/>
        <w:rPr>
          <w:noProof/>
          <w:sz w:val="22"/>
          <w:szCs w:val="22"/>
          <w:lang w:eastAsia="en-GB"/>
        </w:rPr>
      </w:pPr>
      <w:r>
        <w:rPr>
          <w:noProof/>
          <w:sz w:val="22"/>
          <w:szCs w:val="22"/>
          <w:lang w:eastAsia="en-GB"/>
        </w:rPr>
        <w:t>Council</w:t>
      </w:r>
      <w:r w:rsidRPr="00CD24B7">
        <w:rPr>
          <w:noProof/>
          <w:sz w:val="22"/>
          <w:szCs w:val="22"/>
          <w:lang w:eastAsia="en-GB"/>
        </w:rPr>
        <w:t xml:space="preserve"> </w:t>
      </w:r>
      <w:r>
        <w:rPr>
          <w:noProof/>
          <w:sz w:val="22"/>
          <w:szCs w:val="22"/>
          <w:lang w:eastAsia="en-GB"/>
        </w:rPr>
        <w:t>of</w:t>
      </w:r>
      <w:r w:rsidRPr="00CD24B7">
        <w:rPr>
          <w:noProof/>
          <w:sz w:val="22"/>
          <w:szCs w:val="22"/>
          <w:lang w:eastAsia="en-GB"/>
        </w:rPr>
        <w:t xml:space="preserve"> </w:t>
      </w:r>
      <w:r>
        <w:rPr>
          <w:noProof/>
          <w:sz w:val="22"/>
          <w:szCs w:val="22"/>
          <w:lang w:eastAsia="en-GB"/>
        </w:rPr>
        <w:t>State</w:t>
      </w:r>
      <w:r w:rsidR="003213B4" w:rsidRPr="00CD24B7">
        <w:rPr>
          <w:noProof/>
          <w:sz w:val="22"/>
          <w:szCs w:val="22"/>
          <w:lang w:eastAsia="en-GB"/>
        </w:rPr>
        <w:t xml:space="preserve"> (2026)</w:t>
      </w:r>
      <w:r w:rsidRPr="00CD24B7">
        <w:rPr>
          <w:noProof/>
          <w:sz w:val="22"/>
          <w:szCs w:val="22"/>
          <w:lang w:eastAsia="en-GB"/>
        </w:rPr>
        <w:t>,</w:t>
      </w:r>
      <w:r w:rsidR="003213B4" w:rsidRPr="00CD24B7">
        <w:rPr>
          <w:noProof/>
          <w:sz w:val="22"/>
          <w:szCs w:val="22"/>
          <w:lang w:eastAsia="en-GB"/>
        </w:rPr>
        <w:t xml:space="preserve"> </w:t>
      </w:r>
      <w:r w:rsidR="00CD24B7" w:rsidRPr="00555837">
        <w:rPr>
          <w:i/>
          <w:iCs/>
          <w:noProof/>
          <w:sz w:val="22"/>
          <w:szCs w:val="22"/>
          <w:lang w:eastAsia="en-GB"/>
        </w:rPr>
        <w:t>Proposals, in the event of a constitutional revision, regarding: a) the method of selecting the President and the Vice Presidents of the Supreme Courts; b) the composition and functioning of the Supreme Judicial Councils; and c) the establishment of a National Council for the Judiciary.</w:t>
      </w:r>
    </w:p>
    <w:p w14:paraId="2A6CF4CB" w14:textId="5E22484A" w:rsidR="00E51455" w:rsidRPr="000275CD" w:rsidRDefault="00F10DBC" w:rsidP="00E51455">
      <w:pPr>
        <w:spacing w:after="120"/>
        <w:rPr>
          <w:i/>
          <w:iCs/>
          <w:noProof/>
          <w:sz w:val="22"/>
          <w:szCs w:val="22"/>
          <w:lang w:eastAsia="en-GB"/>
        </w:rPr>
      </w:pPr>
      <w:r w:rsidRPr="00CD24B7">
        <w:rPr>
          <w:noProof/>
          <w:sz w:val="22"/>
          <w:szCs w:val="22"/>
          <w:lang w:eastAsia="en-GB"/>
        </w:rPr>
        <w:t xml:space="preserve"> </w:t>
      </w:r>
      <w:r w:rsidR="00E51455" w:rsidRPr="000275CD">
        <w:rPr>
          <w:noProof/>
          <w:sz w:val="22"/>
          <w:szCs w:val="22"/>
          <w:lang w:eastAsia="en-GB"/>
        </w:rPr>
        <w:t xml:space="preserve">Economic and Social Council (2025a), </w:t>
      </w:r>
      <w:r w:rsidR="00E51455" w:rsidRPr="000275CD">
        <w:rPr>
          <w:i/>
          <w:iCs/>
          <w:noProof/>
          <w:sz w:val="22"/>
          <w:szCs w:val="22"/>
          <w:lang w:eastAsia="en-GB"/>
        </w:rPr>
        <w:t xml:space="preserve">Opinion of the Economic and Social Council on the draft law “Digital enhancement of road safety and other provisions”. </w:t>
      </w:r>
    </w:p>
    <w:p w14:paraId="30F7DEDF"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Economic and Social Council (2025b), </w:t>
      </w:r>
      <w:r w:rsidRPr="000275CD">
        <w:rPr>
          <w:i/>
          <w:iCs/>
          <w:noProof/>
          <w:sz w:val="22"/>
          <w:szCs w:val="22"/>
          <w:lang w:eastAsia="en-GB"/>
        </w:rPr>
        <w:t>Opinion of the Economic and Social Council on the draft law “</w:t>
      </w:r>
      <w:r w:rsidRPr="000275CD">
        <w:rPr>
          <w:i/>
          <w:noProof/>
          <w:sz w:val="22"/>
          <w:szCs w:val="22"/>
          <w:lang w:eastAsia="en-GB"/>
        </w:rPr>
        <w:t>Fair Work for All: Simplification of Legislation – Support for Workers – Protection in Practice”.</w:t>
      </w:r>
    </w:p>
    <w:p w14:paraId="302DE3A9"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Economic and Social Council (2026), </w:t>
      </w:r>
      <w:r w:rsidRPr="000275CD">
        <w:rPr>
          <w:i/>
          <w:iCs/>
          <w:noProof/>
          <w:sz w:val="22"/>
          <w:szCs w:val="22"/>
          <w:lang w:eastAsia="en-GB"/>
        </w:rPr>
        <w:t>Opinion of the Economic and Social Council on Opinion on the Draft Law “Promotion of Legal Migration Policies”.</w:t>
      </w:r>
    </w:p>
    <w:p w14:paraId="5D10A5EF" w14:textId="77777777" w:rsidR="00CA6F34" w:rsidRPr="00C06235" w:rsidRDefault="00CB6D19" w:rsidP="00E51455">
      <w:pPr>
        <w:spacing w:after="120"/>
        <w:rPr>
          <w:rFonts w:eastAsiaTheme="minorEastAsia"/>
          <w:i/>
          <w:iCs/>
          <w:noProof/>
          <w:sz w:val="22"/>
          <w:szCs w:val="22"/>
          <w:lang w:eastAsia="en-US"/>
        </w:rPr>
      </w:pPr>
      <w:r>
        <w:rPr>
          <w:rFonts w:eastAsiaTheme="minorEastAsia"/>
          <w:noProof/>
          <w:sz w:val="22"/>
          <w:szCs w:val="22"/>
          <w:lang w:eastAsia="en-US"/>
        </w:rPr>
        <w:t>European Association of Judges</w:t>
      </w:r>
      <w:r w:rsidR="00CA6F34">
        <w:rPr>
          <w:rFonts w:eastAsiaTheme="minorEastAsia"/>
          <w:noProof/>
          <w:sz w:val="22"/>
          <w:szCs w:val="22"/>
          <w:lang w:eastAsia="en-US"/>
        </w:rPr>
        <w:t xml:space="preserve"> (2026), </w:t>
      </w:r>
      <w:r w:rsidR="00CA6F34" w:rsidRPr="00C06235">
        <w:rPr>
          <w:rFonts w:eastAsiaTheme="minorEastAsia"/>
          <w:i/>
          <w:iCs/>
          <w:noProof/>
          <w:sz w:val="22"/>
          <w:szCs w:val="22"/>
          <w:lang w:eastAsia="en-US"/>
        </w:rPr>
        <w:t xml:space="preserve">Resolution concerning abusive behaviour by lawyers towards judges in Greece. </w:t>
      </w:r>
    </w:p>
    <w:p w14:paraId="6B838B48" w14:textId="738554BC" w:rsidR="00E51455" w:rsidRPr="000275CD" w:rsidRDefault="00E51455" w:rsidP="00E51455">
      <w:pPr>
        <w:spacing w:after="120"/>
        <w:rPr>
          <w:rFonts w:eastAsiaTheme="minorHAnsi"/>
          <w:noProof/>
          <w:sz w:val="22"/>
          <w:szCs w:val="22"/>
          <w:lang w:eastAsia="en-US"/>
        </w:rPr>
      </w:pPr>
      <w:r w:rsidRPr="17F0D810">
        <w:rPr>
          <w:rFonts w:eastAsiaTheme="minorEastAsia"/>
          <w:noProof/>
          <w:sz w:val="22"/>
          <w:szCs w:val="22"/>
          <w:lang w:eastAsia="en-US"/>
        </w:rPr>
        <w:t xml:space="preserve">European Centre for Press and Media Freedom, </w:t>
      </w:r>
      <w:r w:rsidRPr="17F0D810">
        <w:rPr>
          <w:rFonts w:eastAsiaTheme="minorEastAsia"/>
          <w:i/>
          <w:noProof/>
          <w:sz w:val="22"/>
          <w:szCs w:val="22"/>
          <w:lang w:eastAsia="en-US"/>
        </w:rPr>
        <w:t>Media Freedom Rapid Response Mechanism – Greece (2025)</w:t>
      </w:r>
      <w:r w:rsidRPr="17F0D810">
        <w:rPr>
          <w:rFonts w:eastAsiaTheme="minorEastAsia"/>
          <w:noProof/>
          <w:sz w:val="22"/>
          <w:szCs w:val="22"/>
          <w:lang w:eastAsia="en-US"/>
        </w:rPr>
        <w:t xml:space="preserve">, </w:t>
      </w:r>
      <w:hyperlink r:id="rId31">
        <w:r w:rsidRPr="17F0D810">
          <w:rPr>
            <w:rFonts w:eastAsiaTheme="minorEastAsia"/>
            <w:noProof/>
            <w:color w:val="0563C1"/>
            <w:sz w:val="22"/>
            <w:szCs w:val="22"/>
            <w:u w:val="single"/>
            <w:lang w:eastAsia="en-US"/>
          </w:rPr>
          <w:t>Press Freedom Violations Monitoring</w:t>
        </w:r>
      </w:hyperlink>
      <w:r w:rsidRPr="17F0D810">
        <w:rPr>
          <w:rFonts w:eastAsiaTheme="minorEastAsia"/>
          <w:noProof/>
          <w:sz w:val="22"/>
          <w:szCs w:val="22"/>
          <w:lang w:eastAsia="en-US"/>
        </w:rPr>
        <w:t>.</w:t>
      </w:r>
    </w:p>
    <w:p w14:paraId="307380F2" w14:textId="4EB0D593" w:rsidR="00E51455" w:rsidRPr="000275CD" w:rsidRDefault="09102791" w:rsidP="3CD37E69">
      <w:pPr>
        <w:spacing w:after="120"/>
        <w:rPr>
          <w:i/>
          <w:iCs/>
          <w:noProof/>
          <w:sz w:val="22"/>
          <w:szCs w:val="22"/>
          <w:lang w:eastAsia="en-GB"/>
        </w:rPr>
      </w:pPr>
      <w:r w:rsidRPr="3CD37E69">
        <w:rPr>
          <w:noProof/>
          <w:sz w:val="22"/>
          <w:szCs w:val="22"/>
          <w:lang w:eastAsia="en-GB"/>
        </w:rPr>
        <w:t xml:space="preserve">European Commission (2025), </w:t>
      </w:r>
      <w:r w:rsidRPr="3CD37E69">
        <w:rPr>
          <w:i/>
          <w:iCs/>
          <w:noProof/>
          <w:sz w:val="22"/>
          <w:szCs w:val="22"/>
          <w:lang w:eastAsia="en-GB"/>
        </w:rPr>
        <w:t>2025 Rule of Law Report, Country Chapter on the rule of law situation in Greece.</w:t>
      </w:r>
      <w:r w:rsidRPr="3CD37E69">
        <w:rPr>
          <w:noProof/>
          <w:sz w:val="22"/>
          <w:szCs w:val="22"/>
          <w:lang w:eastAsia="en-GB"/>
        </w:rPr>
        <w:t xml:space="preserve"> </w:t>
      </w:r>
    </w:p>
    <w:p w14:paraId="2C5B0ED4" w14:textId="2BED9010" w:rsidR="00E51455" w:rsidRPr="000275CD" w:rsidRDefault="09102791" w:rsidP="17F0D810">
      <w:pPr>
        <w:spacing w:after="120"/>
        <w:rPr>
          <w:noProof/>
          <w:sz w:val="22"/>
          <w:szCs w:val="22"/>
          <w:lang w:eastAsia="en-GB"/>
        </w:rPr>
      </w:pPr>
      <w:r w:rsidRPr="17F0D810">
        <w:rPr>
          <w:noProof/>
          <w:sz w:val="22"/>
          <w:szCs w:val="22"/>
          <w:lang w:eastAsia="en-GB"/>
        </w:rPr>
        <w:t xml:space="preserve">European Commission (2024), </w:t>
      </w:r>
      <w:r w:rsidRPr="17F0D810">
        <w:rPr>
          <w:i/>
          <w:iCs/>
          <w:noProof/>
          <w:sz w:val="22"/>
          <w:szCs w:val="22"/>
          <w:lang w:eastAsia="en-GB"/>
        </w:rPr>
        <w:t>2024 Rule of Law report, Country Chapter on the rule of law situation in Greece.</w:t>
      </w:r>
      <w:r w:rsidRPr="17F0D810">
        <w:rPr>
          <w:noProof/>
          <w:sz w:val="22"/>
          <w:szCs w:val="22"/>
          <w:lang w:eastAsia="en-GB"/>
        </w:rPr>
        <w:t xml:space="preserve"> </w:t>
      </w:r>
    </w:p>
    <w:p w14:paraId="30832E89" w14:textId="227C18A5"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Commission (2023), </w:t>
      </w:r>
      <w:r w:rsidRPr="000275CD">
        <w:rPr>
          <w:i/>
          <w:iCs/>
          <w:noProof/>
          <w:sz w:val="22"/>
          <w:szCs w:val="22"/>
          <w:lang w:eastAsia="en-GB"/>
        </w:rPr>
        <w:t>2023 Rule of Law Report, Country Chapter on the rule of law situation in Greece.</w:t>
      </w:r>
    </w:p>
    <w:p w14:paraId="339D0E78"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Commission (2023), </w:t>
      </w:r>
      <w:r w:rsidRPr="000275CD">
        <w:rPr>
          <w:i/>
          <w:iCs/>
          <w:noProof/>
          <w:sz w:val="22"/>
          <w:szCs w:val="22"/>
          <w:lang w:eastAsia="en-GB"/>
        </w:rPr>
        <w:t>Commission Recommendation (EU) 2023/2836 of 12 December 2023 on promoting the engagement and effective participation of citizens and civil society organisations in public policy-making processes.</w:t>
      </w:r>
    </w:p>
    <w:p w14:paraId="192B970D" w14:textId="5CA4BB91" w:rsidR="00E51455" w:rsidRPr="0016676F" w:rsidRDefault="78C11CB4" w:rsidP="6EAB7548">
      <w:pPr>
        <w:spacing w:after="120"/>
        <w:rPr>
          <w:noProof/>
          <w:sz w:val="22"/>
          <w:szCs w:val="22"/>
          <w:lang w:eastAsia="en-GB"/>
        </w:rPr>
      </w:pPr>
      <w:r w:rsidRPr="0016676F">
        <w:rPr>
          <w:noProof/>
          <w:sz w:val="22"/>
          <w:szCs w:val="22"/>
          <w:lang w:eastAsia="en-GB"/>
        </w:rPr>
        <w:t xml:space="preserve">European Commission (2026), </w:t>
      </w:r>
      <w:r w:rsidRPr="0016676F">
        <w:rPr>
          <w:i/>
          <w:noProof/>
          <w:sz w:val="22"/>
          <w:szCs w:val="22"/>
          <w:lang w:eastAsia="en-GB"/>
        </w:rPr>
        <w:t>EU Justice Scoreboard.</w:t>
      </w:r>
      <w:r w:rsidRPr="0016676F">
        <w:rPr>
          <w:noProof/>
          <w:sz w:val="22"/>
          <w:szCs w:val="22"/>
          <w:lang w:eastAsia="en-GB"/>
        </w:rPr>
        <w:t xml:space="preserve"> </w:t>
      </w:r>
    </w:p>
    <w:p w14:paraId="45E658E9" w14:textId="4876AE42" w:rsidR="00E51455" w:rsidRPr="0016676F" w:rsidRDefault="00E51455" w:rsidP="00E51455">
      <w:pPr>
        <w:spacing w:after="120"/>
        <w:rPr>
          <w:noProof/>
          <w:sz w:val="22"/>
          <w:szCs w:val="22"/>
          <w:lang w:eastAsia="en-GB"/>
        </w:rPr>
      </w:pPr>
      <w:r w:rsidRPr="0016676F">
        <w:rPr>
          <w:noProof/>
          <w:sz w:val="22"/>
          <w:szCs w:val="22"/>
          <w:lang w:eastAsia="en-GB"/>
        </w:rPr>
        <w:t xml:space="preserve">European Commission (2025), </w:t>
      </w:r>
      <w:r w:rsidRPr="0016676F">
        <w:rPr>
          <w:i/>
          <w:noProof/>
          <w:sz w:val="22"/>
          <w:szCs w:val="22"/>
          <w:lang w:eastAsia="en-GB"/>
        </w:rPr>
        <w:t>EU Justice Scoreboard</w:t>
      </w:r>
      <w:r w:rsidRPr="0016676F">
        <w:rPr>
          <w:noProof/>
          <w:sz w:val="22"/>
          <w:szCs w:val="22"/>
          <w:lang w:eastAsia="en-GB"/>
        </w:rPr>
        <w:t>.</w:t>
      </w:r>
    </w:p>
    <w:p w14:paraId="30EDB631"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Commission (2026), </w:t>
      </w:r>
      <w:r w:rsidRPr="000275CD">
        <w:rPr>
          <w:i/>
          <w:iCs/>
          <w:noProof/>
          <w:sz w:val="22"/>
          <w:szCs w:val="22"/>
          <w:lang w:eastAsia="en-GB"/>
        </w:rPr>
        <w:t>2026 Country Report – Greece, Accompanying the document Recommendation for a Council Recommendation on the economic, social, employment, structural and budgetary policies of Greece, SWD (2026) 208 final.</w:t>
      </w:r>
    </w:p>
    <w:p w14:paraId="3BABB617" w14:textId="70F5B114" w:rsidR="003641E1" w:rsidRPr="003641E1" w:rsidRDefault="003641E1" w:rsidP="003641E1">
      <w:pPr>
        <w:spacing w:after="120"/>
        <w:rPr>
          <w:noProof/>
          <w:sz w:val="22"/>
          <w:szCs w:val="22"/>
          <w:lang w:eastAsia="en-GB"/>
        </w:rPr>
      </w:pPr>
      <w:r w:rsidRPr="003641E1">
        <w:rPr>
          <w:noProof/>
          <w:sz w:val="22"/>
          <w:szCs w:val="22"/>
          <w:lang w:eastAsia="en-GB"/>
        </w:rPr>
        <w:t>European Commission (202</w:t>
      </w:r>
      <w:r>
        <w:rPr>
          <w:noProof/>
          <w:sz w:val="22"/>
          <w:szCs w:val="22"/>
          <w:lang w:eastAsia="en-GB"/>
        </w:rPr>
        <w:t>6</w:t>
      </w:r>
      <w:r w:rsidRPr="003641E1">
        <w:rPr>
          <w:noProof/>
          <w:sz w:val="22"/>
          <w:szCs w:val="22"/>
          <w:lang w:eastAsia="en-GB"/>
        </w:rPr>
        <w:t xml:space="preserve">), </w:t>
      </w:r>
      <w:r w:rsidRPr="003874F4">
        <w:rPr>
          <w:i/>
          <w:iCs/>
          <w:noProof/>
          <w:sz w:val="22"/>
          <w:szCs w:val="22"/>
          <w:lang w:eastAsia="en-GB"/>
        </w:rPr>
        <w:t xml:space="preserve">Flash Eurobarometer </w:t>
      </w:r>
      <w:r w:rsidR="009567AB" w:rsidRPr="003874F4">
        <w:rPr>
          <w:i/>
          <w:iCs/>
          <w:noProof/>
          <w:sz w:val="22"/>
          <w:szCs w:val="22"/>
          <w:lang w:eastAsia="en-GB"/>
        </w:rPr>
        <w:t>582</w:t>
      </w:r>
      <w:r w:rsidR="009567AB">
        <w:rPr>
          <w:i/>
          <w:iCs/>
          <w:noProof/>
          <w:sz w:val="22"/>
          <w:szCs w:val="22"/>
          <w:lang w:eastAsia="en-GB"/>
        </w:rPr>
        <w:t xml:space="preserve"> </w:t>
      </w:r>
      <w:r w:rsidRPr="003874F4">
        <w:rPr>
          <w:i/>
          <w:iCs/>
          <w:noProof/>
          <w:sz w:val="22"/>
          <w:szCs w:val="22"/>
          <w:lang w:eastAsia="en-GB"/>
        </w:rPr>
        <w:t>on Businesses’ attitudes towards corruption</w:t>
      </w:r>
      <w:r w:rsidR="003874F4" w:rsidRPr="003874F4">
        <w:rPr>
          <w:i/>
          <w:iCs/>
          <w:noProof/>
          <w:sz w:val="22"/>
          <w:szCs w:val="22"/>
          <w:lang w:eastAsia="en-GB"/>
        </w:rPr>
        <w:t xml:space="preserve"> </w:t>
      </w:r>
      <w:r w:rsidRPr="003874F4">
        <w:rPr>
          <w:i/>
          <w:iCs/>
          <w:noProof/>
          <w:sz w:val="22"/>
          <w:szCs w:val="22"/>
          <w:lang w:eastAsia="en-GB"/>
        </w:rPr>
        <w:t>in the EU.</w:t>
      </w:r>
    </w:p>
    <w:p w14:paraId="18F84209" w14:textId="1AC03DF1" w:rsidR="003641E1" w:rsidRDefault="003641E1" w:rsidP="003641E1">
      <w:pPr>
        <w:spacing w:after="120"/>
        <w:rPr>
          <w:noProof/>
          <w:sz w:val="22"/>
          <w:szCs w:val="22"/>
          <w:lang w:eastAsia="en-GB"/>
        </w:rPr>
      </w:pPr>
      <w:r w:rsidRPr="003641E1">
        <w:rPr>
          <w:noProof/>
          <w:sz w:val="22"/>
          <w:szCs w:val="22"/>
          <w:lang w:eastAsia="en-GB"/>
        </w:rPr>
        <w:t>European Commission (202</w:t>
      </w:r>
      <w:r>
        <w:rPr>
          <w:noProof/>
          <w:sz w:val="22"/>
          <w:szCs w:val="22"/>
          <w:lang w:eastAsia="en-GB"/>
        </w:rPr>
        <w:t>6</w:t>
      </w:r>
      <w:r w:rsidRPr="003641E1">
        <w:rPr>
          <w:noProof/>
          <w:sz w:val="22"/>
          <w:szCs w:val="22"/>
          <w:lang w:eastAsia="en-GB"/>
        </w:rPr>
        <w:t>),</w:t>
      </w:r>
      <w:r w:rsidRPr="003874F4">
        <w:rPr>
          <w:i/>
          <w:iCs/>
          <w:noProof/>
          <w:sz w:val="22"/>
          <w:szCs w:val="22"/>
          <w:lang w:eastAsia="en-GB"/>
        </w:rPr>
        <w:t xml:space="preserve"> Special Eurobarometer </w:t>
      </w:r>
      <w:r w:rsidR="009567AB" w:rsidRPr="003874F4">
        <w:rPr>
          <w:i/>
          <w:iCs/>
          <w:noProof/>
          <w:sz w:val="22"/>
          <w:szCs w:val="22"/>
          <w:lang w:eastAsia="en-GB"/>
        </w:rPr>
        <w:t>573</w:t>
      </w:r>
      <w:r w:rsidRPr="003874F4">
        <w:rPr>
          <w:i/>
          <w:iCs/>
          <w:noProof/>
          <w:sz w:val="22"/>
          <w:szCs w:val="22"/>
          <w:lang w:eastAsia="en-GB"/>
        </w:rPr>
        <w:t xml:space="preserve"> on Citizens’ attitudes towards corruption</w:t>
      </w:r>
      <w:r w:rsidR="003874F4" w:rsidRPr="003874F4">
        <w:rPr>
          <w:i/>
          <w:iCs/>
          <w:noProof/>
          <w:sz w:val="22"/>
          <w:szCs w:val="22"/>
          <w:lang w:eastAsia="en-GB"/>
        </w:rPr>
        <w:t xml:space="preserve"> </w:t>
      </w:r>
      <w:r w:rsidRPr="003874F4">
        <w:rPr>
          <w:i/>
          <w:iCs/>
          <w:noProof/>
          <w:sz w:val="22"/>
          <w:szCs w:val="22"/>
          <w:lang w:eastAsia="en-GB"/>
        </w:rPr>
        <w:t>in the EU.</w:t>
      </w:r>
    </w:p>
    <w:p w14:paraId="220E576B" w14:textId="6234A704" w:rsidR="00E51455" w:rsidRPr="000275CD" w:rsidRDefault="00E51455" w:rsidP="003641E1">
      <w:pPr>
        <w:spacing w:after="120"/>
        <w:rPr>
          <w:noProof/>
          <w:sz w:val="22"/>
          <w:szCs w:val="22"/>
          <w:lang w:eastAsia="en-GB"/>
        </w:rPr>
      </w:pPr>
      <w:r w:rsidRPr="000275CD">
        <w:rPr>
          <w:noProof/>
          <w:sz w:val="22"/>
          <w:szCs w:val="22"/>
          <w:lang w:eastAsia="en-GB"/>
        </w:rPr>
        <w:t xml:space="preserve">European Court of Human Rights, judgment of 11 October 2007, </w:t>
      </w:r>
      <w:r w:rsidRPr="000275CD">
        <w:rPr>
          <w:i/>
          <w:iCs/>
          <w:noProof/>
          <w:sz w:val="22"/>
          <w:szCs w:val="22"/>
          <w:lang w:eastAsia="en-GB"/>
        </w:rPr>
        <w:t>Bekir-Ousta and Others v. Greece</w:t>
      </w:r>
      <w:r w:rsidRPr="000275CD">
        <w:rPr>
          <w:noProof/>
          <w:sz w:val="22"/>
          <w:szCs w:val="22"/>
          <w:lang w:eastAsia="en-GB"/>
        </w:rPr>
        <w:t>, 35151/05.</w:t>
      </w:r>
    </w:p>
    <w:p w14:paraId="1B3C78FE"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European Court of Human Rights, judgment of 21 February 2008, </w:t>
      </w:r>
      <w:r w:rsidRPr="000275CD">
        <w:rPr>
          <w:i/>
          <w:iCs/>
          <w:noProof/>
          <w:sz w:val="22"/>
          <w:szCs w:val="22"/>
          <w:lang w:eastAsia="en-GB"/>
        </w:rPr>
        <w:t>Kanellopoulos v. Greece, </w:t>
      </w:r>
      <w:r w:rsidRPr="000275CD">
        <w:rPr>
          <w:noProof/>
          <w:sz w:val="22"/>
          <w:szCs w:val="22"/>
          <w:lang w:eastAsia="en-GB"/>
        </w:rPr>
        <w:t>11325/06.</w:t>
      </w:r>
    </w:p>
    <w:p w14:paraId="79FA68EF" w14:textId="299B44C0" w:rsidR="00E51455" w:rsidRPr="000275CD" w:rsidRDefault="00E51455" w:rsidP="00E51455">
      <w:pPr>
        <w:spacing w:after="120"/>
        <w:rPr>
          <w:noProof/>
          <w:sz w:val="22"/>
          <w:szCs w:val="22"/>
          <w:lang w:val="en-US" w:eastAsia="en-GB"/>
        </w:rPr>
      </w:pPr>
      <w:r w:rsidRPr="09F67D4C">
        <w:rPr>
          <w:noProof/>
          <w:sz w:val="22"/>
          <w:szCs w:val="22"/>
          <w:lang w:val="en-US" w:eastAsia="en-GB"/>
        </w:rPr>
        <w:t>European Court of Human Rights, judgment of 25 January 2018,</w:t>
      </w:r>
      <w:r w:rsidR="00702868">
        <w:rPr>
          <w:noProof/>
          <w:sz w:val="22"/>
          <w:szCs w:val="22"/>
          <w:lang w:val="en-US" w:eastAsia="en-GB"/>
        </w:rPr>
        <w:t xml:space="preserve"> </w:t>
      </w:r>
      <w:r w:rsidRPr="4A0D6FB3">
        <w:rPr>
          <w:i/>
          <w:iCs/>
          <w:noProof/>
          <w:sz w:val="22"/>
          <w:szCs w:val="22"/>
          <w:lang w:val="en-US" w:eastAsia="en-GB"/>
        </w:rPr>
        <w:t>Sidiropoulos</w:t>
      </w:r>
      <w:r w:rsidRPr="09F67D4C">
        <w:rPr>
          <w:i/>
          <w:noProof/>
          <w:sz w:val="22"/>
          <w:szCs w:val="22"/>
          <w:lang w:val="en-US" w:eastAsia="en-GB"/>
        </w:rPr>
        <w:t xml:space="preserve"> and Papapokostas, </w:t>
      </w:r>
      <w:r w:rsidRPr="09F67D4C">
        <w:rPr>
          <w:noProof/>
          <w:sz w:val="22"/>
          <w:szCs w:val="22"/>
          <w:lang w:val="en-US" w:eastAsia="en-GB"/>
        </w:rPr>
        <w:t>33349/10. </w:t>
      </w:r>
    </w:p>
    <w:p w14:paraId="16988FAA"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European Court of Human Rights, judgment of 16 January 2024, </w:t>
      </w:r>
      <w:r w:rsidRPr="000275CD">
        <w:rPr>
          <w:i/>
          <w:iCs/>
          <w:noProof/>
          <w:sz w:val="22"/>
          <w:szCs w:val="22"/>
          <w:lang w:eastAsia="en-GB"/>
        </w:rPr>
        <w:t xml:space="preserve">Alkhatib and Others, </w:t>
      </w:r>
      <w:r w:rsidRPr="000275CD">
        <w:rPr>
          <w:noProof/>
          <w:sz w:val="22"/>
          <w:szCs w:val="22"/>
          <w:lang w:eastAsia="en-GB"/>
        </w:rPr>
        <w:t>3566/16.</w:t>
      </w:r>
    </w:p>
    <w:p w14:paraId="75CC2387" w14:textId="77777777" w:rsidR="00E51455" w:rsidRDefault="00E51455" w:rsidP="00E51455">
      <w:pPr>
        <w:spacing w:after="120"/>
        <w:rPr>
          <w:noProof/>
          <w:sz w:val="22"/>
          <w:szCs w:val="22"/>
          <w:lang w:eastAsia="en-GB"/>
        </w:rPr>
      </w:pPr>
      <w:r w:rsidRPr="000275CD">
        <w:rPr>
          <w:noProof/>
          <w:sz w:val="22"/>
          <w:szCs w:val="22"/>
          <w:lang w:eastAsia="en-GB"/>
        </w:rPr>
        <w:t xml:space="preserve">European Court of Human Rights, judgment of 26 August 2025, </w:t>
      </w:r>
      <w:r w:rsidRPr="000275CD">
        <w:rPr>
          <w:i/>
          <w:iCs/>
          <w:noProof/>
          <w:sz w:val="22"/>
          <w:szCs w:val="22"/>
          <w:lang w:eastAsia="en-GB"/>
        </w:rPr>
        <w:t>Vervele v. Greece</w:t>
      </w:r>
      <w:r w:rsidRPr="000275CD">
        <w:rPr>
          <w:noProof/>
          <w:sz w:val="22"/>
          <w:szCs w:val="22"/>
          <w:lang w:eastAsia="en-GB"/>
        </w:rPr>
        <w:t>, 34012/20.</w:t>
      </w:r>
    </w:p>
    <w:p w14:paraId="185807CB" w14:textId="02E69F07" w:rsidR="00FB302F" w:rsidRPr="000275CD" w:rsidRDefault="00FB302F" w:rsidP="00E51455">
      <w:pPr>
        <w:spacing w:after="120"/>
        <w:rPr>
          <w:noProof/>
          <w:sz w:val="22"/>
          <w:szCs w:val="22"/>
          <w:lang w:eastAsia="en-GB"/>
        </w:rPr>
      </w:pPr>
      <w:r w:rsidRPr="000275CD">
        <w:rPr>
          <w:noProof/>
          <w:sz w:val="22"/>
          <w:szCs w:val="22"/>
          <w:lang w:eastAsia="en-GB"/>
        </w:rPr>
        <w:t xml:space="preserve">European Court of Human Rights, judgment of </w:t>
      </w:r>
      <w:r w:rsidR="002A103D">
        <w:rPr>
          <w:noProof/>
          <w:sz w:val="22"/>
          <w:szCs w:val="22"/>
          <w:lang w:eastAsia="en-GB"/>
        </w:rPr>
        <w:t>12 Septemb</w:t>
      </w:r>
      <w:r w:rsidR="00120EC1">
        <w:rPr>
          <w:noProof/>
          <w:sz w:val="22"/>
          <w:szCs w:val="22"/>
          <w:lang w:eastAsia="en-GB"/>
        </w:rPr>
        <w:t xml:space="preserve">er 2025, </w:t>
      </w:r>
      <w:r w:rsidR="003404E8" w:rsidRPr="00C06235">
        <w:rPr>
          <w:i/>
          <w:iCs/>
          <w:noProof/>
          <w:sz w:val="22"/>
          <w:szCs w:val="22"/>
          <w:lang w:eastAsia="en-GB"/>
        </w:rPr>
        <w:t>M</w:t>
      </w:r>
      <w:r w:rsidR="001D697C" w:rsidRPr="00C06235">
        <w:rPr>
          <w:i/>
          <w:iCs/>
          <w:noProof/>
          <w:sz w:val="22"/>
          <w:szCs w:val="22"/>
          <w:lang w:eastAsia="en-GB"/>
        </w:rPr>
        <w:t>.P. and others v.</w:t>
      </w:r>
      <w:r w:rsidR="00BF0696" w:rsidRPr="00C06235">
        <w:rPr>
          <w:i/>
          <w:iCs/>
          <w:noProof/>
          <w:sz w:val="22"/>
          <w:szCs w:val="22"/>
          <w:lang w:eastAsia="en-GB"/>
        </w:rPr>
        <w:t xml:space="preserve"> Greece</w:t>
      </w:r>
      <w:r w:rsidR="00593CFD">
        <w:rPr>
          <w:noProof/>
          <w:sz w:val="22"/>
          <w:szCs w:val="22"/>
          <w:lang w:eastAsia="en-GB"/>
        </w:rPr>
        <w:t xml:space="preserve">, </w:t>
      </w:r>
      <w:r w:rsidR="00BF0696" w:rsidRPr="00BF0696">
        <w:rPr>
          <w:noProof/>
          <w:sz w:val="22"/>
          <w:szCs w:val="22"/>
          <w:lang w:eastAsia="en-GB"/>
        </w:rPr>
        <w:t>2068/24</w:t>
      </w:r>
      <w:r w:rsidR="00BF0696">
        <w:rPr>
          <w:noProof/>
          <w:sz w:val="22"/>
          <w:szCs w:val="22"/>
          <w:lang w:eastAsia="en-GB"/>
        </w:rPr>
        <w:t>.</w:t>
      </w:r>
    </w:p>
    <w:p w14:paraId="337BE9C8" w14:textId="77777777" w:rsidR="00E51455" w:rsidRPr="000275CD" w:rsidRDefault="00E51455" w:rsidP="00E51455">
      <w:pPr>
        <w:spacing w:after="120"/>
        <w:rPr>
          <w:noProof/>
          <w:sz w:val="22"/>
          <w:szCs w:val="22"/>
          <w:lang w:val="en-US" w:eastAsia="en-GB"/>
        </w:rPr>
      </w:pPr>
      <w:r w:rsidRPr="09F67D4C">
        <w:rPr>
          <w:noProof/>
          <w:sz w:val="22"/>
          <w:szCs w:val="22"/>
          <w:lang w:val="en-US" w:eastAsia="en-GB"/>
        </w:rPr>
        <w:t xml:space="preserve">European Court of Human Rights, judgment of 23 October 2025, </w:t>
      </w:r>
      <w:r w:rsidRPr="09F67D4C">
        <w:rPr>
          <w:i/>
          <w:noProof/>
          <w:sz w:val="22"/>
          <w:szCs w:val="22"/>
          <w:lang w:val="en-US" w:eastAsia="en-GB"/>
        </w:rPr>
        <w:t>Dervisis and Others v. Greece</w:t>
      </w:r>
      <w:r w:rsidRPr="09F67D4C">
        <w:rPr>
          <w:noProof/>
          <w:sz w:val="22"/>
          <w:szCs w:val="22"/>
          <w:lang w:val="en-US" w:eastAsia="en-GB"/>
        </w:rPr>
        <w:t>, 55398/20.</w:t>
      </w:r>
    </w:p>
    <w:p w14:paraId="33C45B53"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European Court of Human Rights, judgment of 26 February 2026, </w:t>
      </w:r>
      <w:r w:rsidRPr="000275CD">
        <w:rPr>
          <w:i/>
          <w:iCs/>
          <w:noProof/>
          <w:sz w:val="22"/>
          <w:szCs w:val="22"/>
          <w:lang w:eastAsia="en-GB"/>
        </w:rPr>
        <w:t>Meletiou and Others v. Greece</w:t>
      </w:r>
      <w:r w:rsidRPr="000275CD">
        <w:rPr>
          <w:noProof/>
          <w:sz w:val="22"/>
          <w:szCs w:val="22"/>
          <w:lang w:eastAsia="en-GB"/>
        </w:rPr>
        <w:t>, 28737/23.</w:t>
      </w:r>
    </w:p>
    <w:p w14:paraId="0C7BB87A" w14:textId="5F78F936" w:rsidR="00A1663C" w:rsidRPr="0080731A" w:rsidRDefault="00A1663C" w:rsidP="00E51455">
      <w:pPr>
        <w:spacing w:after="120"/>
        <w:rPr>
          <w:i/>
          <w:iCs/>
          <w:noProof/>
          <w:sz w:val="22"/>
          <w:szCs w:val="22"/>
          <w:lang w:eastAsia="en-GB"/>
        </w:rPr>
      </w:pPr>
      <w:r w:rsidRPr="00A1663C">
        <w:rPr>
          <w:noProof/>
          <w:sz w:val="22"/>
          <w:szCs w:val="22"/>
          <w:lang w:eastAsia="en-GB"/>
        </w:rPr>
        <w:t>EU Fundamental Rights Agency</w:t>
      </w:r>
      <w:r>
        <w:rPr>
          <w:noProof/>
          <w:sz w:val="22"/>
          <w:szCs w:val="22"/>
          <w:lang w:eastAsia="en-GB"/>
        </w:rPr>
        <w:t xml:space="preserve"> (2026), </w:t>
      </w:r>
      <w:r w:rsidR="0080731A" w:rsidRPr="0080731A">
        <w:rPr>
          <w:i/>
          <w:iCs/>
          <w:noProof/>
          <w:sz w:val="22"/>
          <w:szCs w:val="22"/>
          <w:lang w:eastAsia="en-GB"/>
        </w:rPr>
        <w:t xml:space="preserve">2025 Civic space developments, </w:t>
      </w:r>
      <w:r w:rsidR="0080731A">
        <w:rPr>
          <w:i/>
          <w:iCs/>
          <w:noProof/>
          <w:sz w:val="22"/>
          <w:szCs w:val="22"/>
          <w:lang w:eastAsia="en-GB"/>
        </w:rPr>
        <w:t>I</w:t>
      </w:r>
      <w:r w:rsidR="0085200E" w:rsidRPr="0080731A">
        <w:rPr>
          <w:i/>
          <w:iCs/>
          <w:noProof/>
          <w:sz w:val="22"/>
          <w:szCs w:val="22"/>
          <w:lang w:eastAsia="en-GB"/>
        </w:rPr>
        <w:t xml:space="preserve">nput to the </w:t>
      </w:r>
      <w:r w:rsidR="0080731A" w:rsidRPr="0080731A">
        <w:rPr>
          <w:i/>
          <w:iCs/>
          <w:noProof/>
          <w:sz w:val="22"/>
          <w:szCs w:val="22"/>
          <w:lang w:eastAsia="en-GB"/>
        </w:rPr>
        <w:t>2026 Rule of Report</w:t>
      </w:r>
      <w:r w:rsidR="008C5335">
        <w:rPr>
          <w:i/>
          <w:iCs/>
          <w:noProof/>
          <w:sz w:val="22"/>
          <w:szCs w:val="22"/>
          <w:lang w:eastAsia="en-GB"/>
        </w:rPr>
        <w:t xml:space="preserve"> and Annex</w:t>
      </w:r>
      <w:r w:rsidR="0080731A" w:rsidRPr="0080731A">
        <w:rPr>
          <w:i/>
          <w:iCs/>
          <w:noProof/>
          <w:sz w:val="22"/>
          <w:szCs w:val="22"/>
          <w:lang w:eastAsia="en-GB"/>
        </w:rPr>
        <w:t>.</w:t>
      </w:r>
    </w:p>
    <w:p w14:paraId="0EF04570" w14:textId="570C4339"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Implementation Network (2026), </w:t>
      </w:r>
      <w:r w:rsidRPr="000275CD">
        <w:rPr>
          <w:i/>
          <w:iCs/>
          <w:noProof/>
          <w:sz w:val="22"/>
          <w:szCs w:val="22"/>
          <w:lang w:eastAsia="en-GB"/>
        </w:rPr>
        <w:t xml:space="preserve">Input </w:t>
      </w:r>
      <w:r w:rsidR="00296984" w:rsidRPr="00296984">
        <w:rPr>
          <w:i/>
          <w:iCs/>
          <w:noProof/>
          <w:sz w:val="22"/>
          <w:szCs w:val="22"/>
          <w:lang w:val="en-GB" w:eastAsia="en-GB"/>
        </w:rPr>
        <w:t>the European Implementation Network for the 2026 Rule of Law Report</w:t>
      </w:r>
      <w:r w:rsidR="00296984" w:rsidRPr="00296984">
        <w:rPr>
          <w:i/>
          <w:iCs/>
          <w:noProof/>
          <w:sz w:val="22"/>
          <w:szCs w:val="22"/>
          <w:lang w:eastAsia="en-GB"/>
        </w:rPr>
        <w:t>.</w:t>
      </w:r>
    </w:p>
    <w:p w14:paraId="32A49BB3"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European Network of Councils for the Judiciary (2025), Survey among judges on the Independence of the Judiciary, </w:t>
      </w:r>
      <w:hyperlink r:id="rId32" w:history="1">
        <w:r w:rsidRPr="000275CD">
          <w:rPr>
            <w:noProof/>
            <w:color w:val="0563C1" w:themeColor="hyperlink"/>
            <w:sz w:val="22"/>
            <w:szCs w:val="22"/>
            <w:u w:val="single"/>
            <w:lang w:eastAsia="en-GB"/>
          </w:rPr>
          <w:t>https://pgwrk-websitemedia.s3.eu-west-1.amazonaws.com/production/pwk-web-encj2017-p/Report%20ENCJ%20Survey%20on%20Independence-compressed_0.pdf</w:t>
        </w:r>
      </w:hyperlink>
      <w:r w:rsidRPr="000275CD">
        <w:rPr>
          <w:noProof/>
          <w:sz w:val="22"/>
          <w:szCs w:val="22"/>
          <w:lang w:eastAsia="en-GB"/>
        </w:rPr>
        <w:t xml:space="preserve">. </w:t>
      </w:r>
    </w:p>
    <w:p w14:paraId="6FF5FCD6"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Network of Councils for the Judiciary (2026), </w:t>
      </w:r>
      <w:r w:rsidRPr="000275CD">
        <w:rPr>
          <w:i/>
          <w:iCs/>
          <w:noProof/>
          <w:sz w:val="22"/>
          <w:szCs w:val="22"/>
          <w:lang w:eastAsia="en-GB"/>
        </w:rPr>
        <w:t>Input for the 2026 Rule of Law Report.</w:t>
      </w:r>
    </w:p>
    <w:p w14:paraId="331F94D5" w14:textId="65784489" w:rsidR="00E51455" w:rsidRPr="000275CD" w:rsidRDefault="00E51455" w:rsidP="00E51455">
      <w:pPr>
        <w:spacing w:after="120"/>
        <w:rPr>
          <w:i/>
          <w:iCs/>
          <w:noProof/>
          <w:sz w:val="22"/>
          <w:szCs w:val="22"/>
          <w:lang w:eastAsia="en-GB"/>
        </w:rPr>
      </w:pPr>
      <w:r w:rsidRPr="000275CD">
        <w:rPr>
          <w:noProof/>
          <w:sz w:val="22"/>
          <w:szCs w:val="22"/>
          <w:lang w:eastAsia="en-GB"/>
        </w:rPr>
        <w:t>European Network of National Human Rights Institutions (ENNHRI</w:t>
      </w:r>
      <w:r w:rsidR="00710FC5">
        <w:rPr>
          <w:noProof/>
          <w:sz w:val="22"/>
          <w:szCs w:val="22"/>
          <w:lang w:eastAsia="en-GB"/>
        </w:rPr>
        <w:t>)</w:t>
      </w:r>
      <w:r w:rsidRPr="000275CD">
        <w:rPr>
          <w:noProof/>
          <w:sz w:val="22"/>
          <w:szCs w:val="22"/>
          <w:lang w:eastAsia="en-GB"/>
        </w:rPr>
        <w:t xml:space="preserve"> </w:t>
      </w:r>
      <w:r w:rsidR="00710FC5">
        <w:rPr>
          <w:noProof/>
          <w:sz w:val="22"/>
          <w:szCs w:val="22"/>
          <w:lang w:eastAsia="en-GB"/>
        </w:rPr>
        <w:t>(</w:t>
      </w:r>
      <w:r w:rsidRPr="000275CD">
        <w:rPr>
          <w:noProof/>
          <w:sz w:val="22"/>
          <w:szCs w:val="22"/>
          <w:lang w:eastAsia="en-GB"/>
        </w:rPr>
        <w:t xml:space="preserve">2026), </w:t>
      </w:r>
      <w:r w:rsidRPr="000275CD">
        <w:rPr>
          <w:i/>
          <w:iCs/>
          <w:noProof/>
          <w:sz w:val="22"/>
          <w:szCs w:val="22"/>
          <w:lang w:eastAsia="en-GB"/>
        </w:rPr>
        <w:t>State of the rule of law in Europe</w:t>
      </w:r>
      <w:r w:rsidR="59A4540A" w:rsidRPr="5200B15E">
        <w:rPr>
          <w:i/>
          <w:iCs/>
          <w:noProof/>
          <w:sz w:val="22"/>
          <w:szCs w:val="22"/>
          <w:lang w:eastAsia="en-GB"/>
        </w:rPr>
        <w:t>.</w:t>
      </w:r>
      <w:r w:rsidR="00702868">
        <w:rPr>
          <w:i/>
          <w:iCs/>
          <w:noProof/>
          <w:sz w:val="22"/>
          <w:szCs w:val="22"/>
          <w:lang w:eastAsia="en-GB"/>
        </w:rPr>
        <w:t xml:space="preserve"> </w:t>
      </w:r>
      <w:r w:rsidRPr="000275CD">
        <w:rPr>
          <w:i/>
          <w:iCs/>
          <w:noProof/>
          <w:sz w:val="22"/>
          <w:szCs w:val="22"/>
          <w:lang w:eastAsia="en-GB"/>
        </w:rPr>
        <w:t xml:space="preserve">Reports from National Human Rights Institutions, </w:t>
      </w:r>
      <w:r w:rsidR="008877EE">
        <w:rPr>
          <w:i/>
          <w:iCs/>
          <w:noProof/>
          <w:sz w:val="22"/>
          <w:szCs w:val="22"/>
          <w:lang w:eastAsia="en-GB"/>
        </w:rPr>
        <w:t xml:space="preserve">2026 </w:t>
      </w:r>
      <w:r w:rsidRPr="000275CD">
        <w:rPr>
          <w:i/>
          <w:iCs/>
          <w:noProof/>
          <w:sz w:val="22"/>
          <w:szCs w:val="22"/>
          <w:lang w:eastAsia="en-GB"/>
        </w:rPr>
        <w:t>Greece</w:t>
      </w:r>
      <w:r w:rsidR="008877EE">
        <w:rPr>
          <w:i/>
          <w:iCs/>
          <w:noProof/>
          <w:sz w:val="22"/>
          <w:szCs w:val="22"/>
          <w:lang w:eastAsia="en-GB"/>
        </w:rPr>
        <w:t xml:space="preserve"> country report</w:t>
      </w:r>
      <w:r w:rsidR="00E00394">
        <w:rPr>
          <w:i/>
          <w:iCs/>
          <w:noProof/>
          <w:sz w:val="22"/>
          <w:szCs w:val="22"/>
          <w:lang w:eastAsia="en-GB"/>
        </w:rPr>
        <w:t xml:space="preserve">, </w:t>
      </w:r>
      <w:hyperlink r:id="rId33" w:history="1">
        <w:r w:rsidR="00E00394" w:rsidRPr="00E00394">
          <w:rPr>
            <w:rStyle w:val="Hyperlink"/>
            <w:i/>
            <w:iCs/>
            <w:noProof/>
            <w:sz w:val="22"/>
            <w:szCs w:val="22"/>
            <w:lang w:eastAsia="en-GB"/>
          </w:rPr>
          <w:t>2026 Greece country report | ENNHRI</w:t>
        </w:r>
      </w:hyperlink>
      <w:r w:rsidRPr="000275CD">
        <w:rPr>
          <w:i/>
          <w:iCs/>
          <w:noProof/>
          <w:sz w:val="22"/>
          <w:szCs w:val="22"/>
          <w:lang w:eastAsia="en-GB"/>
        </w:rPr>
        <w:t xml:space="preserve">. </w:t>
      </w:r>
    </w:p>
    <w:p w14:paraId="5D9D8971"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European Public Prosecutor’s Office (2026), </w:t>
      </w:r>
      <w:r w:rsidRPr="000275CD">
        <w:rPr>
          <w:i/>
          <w:iCs/>
          <w:noProof/>
          <w:sz w:val="22"/>
          <w:szCs w:val="22"/>
          <w:lang w:eastAsia="en-GB"/>
        </w:rPr>
        <w:t>Input for the 2026 Rule of Law Report.</w:t>
      </w:r>
    </w:p>
    <w:p w14:paraId="7FAE9AA0"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Federation of Western Thrace Turks in Europe (2026), </w:t>
      </w:r>
      <w:r w:rsidRPr="000275CD">
        <w:rPr>
          <w:i/>
          <w:iCs/>
          <w:noProof/>
          <w:sz w:val="22"/>
          <w:szCs w:val="22"/>
          <w:lang w:eastAsia="en-GB"/>
        </w:rPr>
        <w:t>Input for the 2026 Rule of Law Report.</w:t>
      </w:r>
    </w:p>
    <w:p w14:paraId="5CDA6BFB" w14:textId="629381AB" w:rsidR="008A7BCD" w:rsidRPr="00212657" w:rsidRDefault="00212657" w:rsidP="00E51455">
      <w:pPr>
        <w:spacing w:after="120"/>
        <w:rPr>
          <w:i/>
          <w:iCs/>
          <w:noProof/>
          <w:sz w:val="22"/>
          <w:szCs w:val="22"/>
          <w:lang w:eastAsia="en-GB"/>
        </w:rPr>
      </w:pPr>
      <w:r w:rsidRPr="00212657">
        <w:rPr>
          <w:noProof/>
          <w:sz w:val="22"/>
          <w:szCs w:val="22"/>
          <w:lang w:val="en-GB" w:eastAsia="en-GB"/>
        </w:rPr>
        <w:t>General Commissioner of the ordinary administrative courts (2026</w:t>
      </w:r>
      <w:r w:rsidRPr="00212657">
        <w:rPr>
          <w:noProof/>
          <w:sz w:val="22"/>
          <w:szCs w:val="22"/>
          <w:lang w:eastAsia="en-GB"/>
        </w:rPr>
        <w:t xml:space="preserve">), </w:t>
      </w:r>
      <w:r w:rsidR="008A7BCD" w:rsidRPr="00212657">
        <w:rPr>
          <w:i/>
          <w:iCs/>
          <w:noProof/>
          <w:sz w:val="22"/>
          <w:szCs w:val="22"/>
          <w:lang w:eastAsia="en-GB"/>
        </w:rPr>
        <w:t xml:space="preserve">General Report on the Operations of the </w:t>
      </w:r>
      <w:r w:rsidRPr="00212657">
        <w:rPr>
          <w:i/>
          <w:iCs/>
          <w:noProof/>
          <w:sz w:val="22"/>
          <w:szCs w:val="22"/>
          <w:lang w:val="en-GB" w:eastAsia="en-GB"/>
        </w:rPr>
        <w:t>ordinary</w:t>
      </w:r>
      <w:r w:rsidR="008A7BCD" w:rsidRPr="00212657">
        <w:rPr>
          <w:i/>
          <w:iCs/>
          <w:noProof/>
          <w:sz w:val="22"/>
          <w:szCs w:val="22"/>
          <w:lang w:eastAsia="en-GB"/>
        </w:rPr>
        <w:t xml:space="preserve"> </w:t>
      </w:r>
      <w:r w:rsidRPr="00212657">
        <w:rPr>
          <w:i/>
          <w:iCs/>
          <w:noProof/>
          <w:sz w:val="22"/>
          <w:szCs w:val="22"/>
          <w:lang w:val="en-GB" w:eastAsia="en-GB"/>
        </w:rPr>
        <w:t xml:space="preserve">administrative courts </w:t>
      </w:r>
      <w:r w:rsidR="008A7BCD" w:rsidRPr="00212657">
        <w:rPr>
          <w:i/>
          <w:iCs/>
          <w:noProof/>
          <w:sz w:val="22"/>
          <w:szCs w:val="22"/>
          <w:lang w:eastAsia="en-GB"/>
        </w:rPr>
        <w:t>in 2025</w:t>
      </w:r>
    </w:p>
    <w:p w14:paraId="686EDF83" w14:textId="157FA49A" w:rsidR="00E51455" w:rsidRPr="000275CD" w:rsidRDefault="00E51455" w:rsidP="00E51455">
      <w:pPr>
        <w:spacing w:after="120"/>
        <w:rPr>
          <w:noProof/>
          <w:sz w:val="22"/>
          <w:szCs w:val="22"/>
          <w:lang w:eastAsia="en-GB"/>
        </w:rPr>
      </w:pPr>
      <w:r w:rsidRPr="000275CD">
        <w:rPr>
          <w:noProof/>
          <w:sz w:val="22"/>
          <w:szCs w:val="22"/>
          <w:lang w:eastAsia="en-GB"/>
        </w:rPr>
        <w:t xml:space="preserve">GRECO (2020), </w:t>
      </w:r>
      <w:r w:rsidRPr="000275CD">
        <w:rPr>
          <w:i/>
          <w:iCs/>
          <w:noProof/>
          <w:sz w:val="22"/>
          <w:szCs w:val="22"/>
          <w:lang w:eastAsia="en-GB"/>
        </w:rPr>
        <w:t>Fifth Evaluation Round, Evaluation Report Greece,</w:t>
      </w:r>
      <w:r w:rsidRPr="000275CD">
        <w:rPr>
          <w:noProof/>
          <w:sz w:val="22"/>
          <w:szCs w:val="22"/>
          <w:lang w:eastAsia="en-GB"/>
        </w:rPr>
        <w:t xml:space="preserve"> </w:t>
      </w:r>
      <w:r w:rsidRPr="000275CD">
        <w:rPr>
          <w:noProof/>
          <w:color w:val="0563C1" w:themeColor="hyperlink"/>
          <w:sz w:val="22"/>
          <w:szCs w:val="22"/>
          <w:u w:val="single"/>
          <w:lang w:eastAsia="en-GB"/>
        </w:rPr>
        <w:t>https://rm.coe.int/fifth-evaluation-round-preventing-corruption-and-promoting-integrity-i/1680a5a148</w:t>
      </w:r>
      <w:r w:rsidRPr="000275CD">
        <w:rPr>
          <w:rFonts w:eastAsiaTheme="minorHAnsi" w:cstheme="minorBidi"/>
          <w:noProof/>
          <w:szCs w:val="22"/>
          <w:lang w:eastAsia="en-US"/>
        </w:rPr>
        <w:t>.</w:t>
      </w:r>
      <w:r w:rsidRPr="000275CD">
        <w:rPr>
          <w:noProof/>
          <w:sz w:val="22"/>
          <w:szCs w:val="22"/>
          <w:lang w:eastAsia="en-GB"/>
        </w:rPr>
        <w:t xml:space="preserve"> </w:t>
      </w:r>
    </w:p>
    <w:p w14:paraId="00819A4E" w14:textId="22B40D83" w:rsidR="00E51455" w:rsidRPr="000275CD" w:rsidRDefault="00E51455" w:rsidP="00E51455">
      <w:pPr>
        <w:spacing w:after="120"/>
        <w:rPr>
          <w:i/>
          <w:iCs/>
          <w:noProof/>
          <w:sz w:val="22"/>
          <w:szCs w:val="22"/>
          <w:lang w:eastAsia="en-GB"/>
        </w:rPr>
      </w:pPr>
      <w:r w:rsidRPr="000275CD">
        <w:rPr>
          <w:noProof/>
          <w:sz w:val="22"/>
          <w:szCs w:val="22"/>
          <w:lang w:eastAsia="en-GB"/>
        </w:rPr>
        <w:t>Greek Government (2026</w:t>
      </w:r>
      <w:r w:rsidR="00B920D7">
        <w:rPr>
          <w:noProof/>
          <w:sz w:val="22"/>
          <w:szCs w:val="22"/>
          <w:lang w:eastAsia="en-GB"/>
        </w:rPr>
        <w:t>a</w:t>
      </w:r>
      <w:r w:rsidRPr="000275CD">
        <w:rPr>
          <w:noProof/>
          <w:sz w:val="22"/>
          <w:szCs w:val="22"/>
          <w:lang w:eastAsia="en-GB"/>
        </w:rPr>
        <w:t>),</w:t>
      </w:r>
      <w:r w:rsidRPr="000275CD">
        <w:rPr>
          <w:i/>
          <w:iCs/>
          <w:noProof/>
          <w:sz w:val="22"/>
          <w:szCs w:val="22"/>
          <w:lang w:eastAsia="en-GB"/>
        </w:rPr>
        <w:t xml:space="preserve"> Input from Greece for the 2026 Rule of Law Report.</w:t>
      </w:r>
    </w:p>
    <w:p w14:paraId="07096387" w14:textId="23989EB0" w:rsidR="00E51455" w:rsidRDefault="00E51455" w:rsidP="00E51455">
      <w:pPr>
        <w:spacing w:after="120"/>
        <w:rPr>
          <w:i/>
          <w:iCs/>
          <w:noProof/>
          <w:sz w:val="22"/>
          <w:szCs w:val="22"/>
          <w:lang w:eastAsia="en-GB"/>
        </w:rPr>
      </w:pPr>
      <w:r w:rsidRPr="000275CD">
        <w:rPr>
          <w:noProof/>
          <w:sz w:val="22"/>
          <w:szCs w:val="22"/>
          <w:lang w:eastAsia="en-GB"/>
        </w:rPr>
        <w:t>Greek Government (2026</w:t>
      </w:r>
      <w:r w:rsidR="00B920D7">
        <w:rPr>
          <w:noProof/>
          <w:sz w:val="22"/>
          <w:szCs w:val="22"/>
          <w:lang w:eastAsia="en-GB"/>
        </w:rPr>
        <w:t>b</w:t>
      </w:r>
      <w:r w:rsidRPr="000275CD">
        <w:rPr>
          <w:noProof/>
          <w:sz w:val="22"/>
          <w:szCs w:val="22"/>
          <w:lang w:eastAsia="en-GB"/>
        </w:rPr>
        <w:t>),</w:t>
      </w:r>
      <w:r w:rsidRPr="000275CD">
        <w:rPr>
          <w:i/>
          <w:iCs/>
          <w:noProof/>
          <w:sz w:val="22"/>
          <w:szCs w:val="22"/>
          <w:lang w:eastAsia="en-GB"/>
        </w:rPr>
        <w:t xml:space="preserve"> Additional written contribution for the 2026 Rule of Law Report.</w:t>
      </w:r>
    </w:p>
    <w:p w14:paraId="452D5FD1" w14:textId="28D7AA95" w:rsidR="0016676F" w:rsidRPr="000275CD" w:rsidRDefault="0016676F" w:rsidP="00E51455">
      <w:pPr>
        <w:spacing w:after="120"/>
        <w:rPr>
          <w:i/>
          <w:iCs/>
          <w:noProof/>
          <w:sz w:val="22"/>
          <w:szCs w:val="22"/>
          <w:lang w:eastAsia="en-GB"/>
        </w:rPr>
      </w:pPr>
      <w:r w:rsidRPr="000275CD">
        <w:rPr>
          <w:noProof/>
          <w:sz w:val="22"/>
          <w:szCs w:val="22"/>
          <w:lang w:eastAsia="en-GB"/>
        </w:rPr>
        <w:t>Greek Government (2026</w:t>
      </w:r>
      <w:r>
        <w:rPr>
          <w:noProof/>
          <w:sz w:val="22"/>
          <w:szCs w:val="22"/>
          <w:lang w:eastAsia="en-GB"/>
        </w:rPr>
        <w:t>c</w:t>
      </w:r>
      <w:r w:rsidRPr="000275CD">
        <w:rPr>
          <w:noProof/>
          <w:sz w:val="22"/>
          <w:szCs w:val="22"/>
          <w:lang w:eastAsia="en-GB"/>
        </w:rPr>
        <w:t>),</w:t>
      </w:r>
      <w:r w:rsidR="00B77280" w:rsidRPr="00B77280">
        <w:rPr>
          <w:i/>
          <w:iCs/>
          <w:noProof/>
          <w:sz w:val="22"/>
          <w:lang w:eastAsia="en-GB"/>
        </w:rPr>
        <w:t xml:space="preserve"> </w:t>
      </w:r>
      <w:r w:rsidR="00B77280" w:rsidRPr="007C6DA5">
        <w:rPr>
          <w:i/>
          <w:iCs/>
          <w:noProof/>
          <w:sz w:val="22"/>
          <w:lang w:eastAsia="en-GB"/>
        </w:rPr>
        <w:t xml:space="preserve">Additional </w:t>
      </w:r>
      <w:r w:rsidR="00B77280">
        <w:rPr>
          <w:i/>
          <w:iCs/>
          <w:noProof/>
          <w:sz w:val="22"/>
          <w:lang w:eastAsia="en-GB"/>
        </w:rPr>
        <w:t>comments to</w:t>
      </w:r>
      <w:r w:rsidR="00B77280" w:rsidRPr="007C6DA5">
        <w:rPr>
          <w:i/>
          <w:iCs/>
          <w:noProof/>
          <w:sz w:val="22"/>
          <w:lang w:eastAsia="en-GB"/>
        </w:rPr>
        <w:t xml:space="preserve"> the 2026 Rule of Law Report</w:t>
      </w:r>
      <w:r w:rsidR="00B77280" w:rsidRPr="003273B3">
        <w:rPr>
          <w:noProof/>
          <w:sz w:val="22"/>
          <w:lang w:eastAsia="en-GB"/>
        </w:rPr>
        <w:t>.</w:t>
      </w:r>
    </w:p>
    <w:p w14:paraId="0E3BE692"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Greek Ombudsman (2025), </w:t>
      </w:r>
      <w:r w:rsidRPr="000275CD">
        <w:rPr>
          <w:i/>
          <w:iCs/>
          <w:noProof/>
          <w:sz w:val="22"/>
          <w:szCs w:val="22"/>
          <w:lang w:eastAsia="en-GB"/>
        </w:rPr>
        <w:t xml:space="preserve">2024 Special Report, National Mechanism for the Investigation of Arbitrary Incidents. </w:t>
      </w:r>
    </w:p>
    <w:p w14:paraId="2B093AAE" w14:textId="77777777" w:rsidR="00E51455" w:rsidRPr="000275CD" w:rsidRDefault="00E51455" w:rsidP="00E51455">
      <w:pPr>
        <w:spacing w:after="120"/>
        <w:rPr>
          <w:noProof/>
          <w:sz w:val="22"/>
          <w:szCs w:val="22"/>
          <w:lang w:eastAsia="en-GB"/>
        </w:rPr>
      </w:pPr>
      <w:r w:rsidRPr="000275CD">
        <w:rPr>
          <w:noProof/>
          <w:sz w:val="22"/>
          <w:szCs w:val="22"/>
          <w:lang w:eastAsia="en-GB"/>
        </w:rPr>
        <w:t>Greek Ombudsman</w:t>
      </w:r>
      <w:r w:rsidRPr="000275CD">
        <w:rPr>
          <w:rFonts w:eastAsiaTheme="minorHAnsi" w:cstheme="minorBidi"/>
          <w:noProof/>
          <w:szCs w:val="22"/>
          <w:lang w:eastAsia="en-US"/>
        </w:rPr>
        <w:t xml:space="preserve"> </w:t>
      </w:r>
      <w:r w:rsidRPr="000275CD">
        <w:rPr>
          <w:noProof/>
          <w:sz w:val="22"/>
          <w:szCs w:val="22"/>
          <w:lang w:eastAsia="en-GB"/>
        </w:rPr>
        <w:t xml:space="preserve">(2026a), </w:t>
      </w:r>
      <w:r w:rsidRPr="000275CD">
        <w:rPr>
          <w:i/>
          <w:iCs/>
          <w:noProof/>
          <w:sz w:val="22"/>
          <w:szCs w:val="22"/>
          <w:lang w:eastAsia="en-GB"/>
        </w:rPr>
        <w:t>Comments on the draft law on the promotion of legal migration policies, 27 January 2026.</w:t>
      </w:r>
    </w:p>
    <w:p w14:paraId="1C1CF9EB"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Greek Ombudsman (2026b), </w:t>
      </w:r>
      <w:r w:rsidRPr="000275CD">
        <w:rPr>
          <w:i/>
          <w:noProof/>
          <w:sz w:val="22"/>
          <w:szCs w:val="22"/>
          <w:lang w:eastAsia="en-GB"/>
        </w:rPr>
        <w:t xml:space="preserve">Press Release: The Ombudsman calls for an investigation into the fatal incident off Chios. </w:t>
      </w:r>
    </w:p>
    <w:p w14:paraId="1EAC8041"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Greek Ombudsman (2026c), </w:t>
      </w:r>
      <w:r w:rsidRPr="000275CD">
        <w:rPr>
          <w:i/>
          <w:noProof/>
          <w:sz w:val="22"/>
          <w:szCs w:val="22"/>
          <w:lang w:eastAsia="en-GB"/>
        </w:rPr>
        <w:t>Press Release: The Ombudsman for the progress of the disciplinary investigation into the Pylos shipwreck.</w:t>
      </w:r>
    </w:p>
    <w:p w14:paraId="5AC11192"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Greek Ombudsman (2026d), </w:t>
      </w:r>
      <w:r w:rsidRPr="000275CD">
        <w:rPr>
          <w:i/>
          <w:noProof/>
          <w:sz w:val="22"/>
          <w:szCs w:val="22"/>
          <w:lang w:eastAsia="en-GB"/>
        </w:rPr>
        <w:t>Press Release: Report on the death of a Pakistani national in a police station in Athens on 21 September 2024.</w:t>
      </w:r>
    </w:p>
    <w:p w14:paraId="3BCBE8F7" w14:textId="77777777" w:rsidR="00E51455" w:rsidRPr="000275CD" w:rsidRDefault="00E51455" w:rsidP="00E51455">
      <w:pPr>
        <w:spacing w:after="120"/>
        <w:rPr>
          <w:noProof/>
          <w:sz w:val="22"/>
          <w:szCs w:val="22"/>
          <w:lang w:eastAsia="en-GB"/>
        </w:rPr>
      </w:pPr>
      <w:r w:rsidRPr="000275CD">
        <w:rPr>
          <w:iCs/>
          <w:noProof/>
          <w:sz w:val="22"/>
          <w:szCs w:val="22"/>
          <w:lang w:eastAsia="en-GB"/>
        </w:rPr>
        <w:t>Hellenic Police (2026),</w:t>
      </w:r>
      <w:r w:rsidRPr="000275CD">
        <w:rPr>
          <w:i/>
          <w:noProof/>
          <w:sz w:val="22"/>
          <w:szCs w:val="22"/>
          <w:lang w:eastAsia="en-GB"/>
        </w:rPr>
        <w:t xml:space="preserve"> additional written input for the 2026 Rule of Law Report.</w:t>
      </w:r>
    </w:p>
    <w:p w14:paraId="77E4153B" w14:textId="218AF299" w:rsidR="00C8589C" w:rsidRPr="000275CD" w:rsidRDefault="00FD4B16" w:rsidP="00C8589C">
      <w:pPr>
        <w:spacing w:after="120"/>
        <w:rPr>
          <w:noProof/>
          <w:sz w:val="22"/>
          <w:szCs w:val="22"/>
          <w:lang w:eastAsia="en-GB"/>
        </w:rPr>
      </w:pPr>
      <w:r w:rsidRPr="00C8589C">
        <w:rPr>
          <w:noProof/>
          <w:sz w:val="22"/>
          <w:szCs w:val="22"/>
          <w:lang w:eastAsia="en-GB"/>
        </w:rPr>
        <w:t>H</w:t>
      </w:r>
      <w:r w:rsidR="00C8589C" w:rsidRPr="00C8589C">
        <w:rPr>
          <w:noProof/>
          <w:sz w:val="22"/>
          <w:szCs w:val="22"/>
          <w:lang w:eastAsia="en-GB"/>
        </w:rPr>
        <w:t xml:space="preserve">IAS Greece (2026), </w:t>
      </w:r>
      <w:r w:rsidR="00C8589C" w:rsidRPr="00C8589C">
        <w:rPr>
          <w:rFonts w:eastAsiaTheme="minorEastAsia" w:cstheme="minorBidi"/>
          <w:i/>
          <w:noProof/>
          <w:sz w:val="22"/>
          <w:szCs w:val="22"/>
          <w:lang w:eastAsia="en-GB"/>
        </w:rPr>
        <w:t>Joint Civil Society Statement on the Migration Ministry Bill</w:t>
      </w:r>
      <w:r w:rsidR="00C8589C" w:rsidRPr="00C8589C">
        <w:rPr>
          <w:rFonts w:eastAsiaTheme="minorEastAsia" w:cstheme="minorBidi"/>
          <w:i/>
          <w:iCs/>
          <w:noProof/>
          <w:sz w:val="22"/>
          <w:szCs w:val="22"/>
          <w:lang w:eastAsia="en-GB"/>
        </w:rPr>
        <w:t>,</w:t>
      </w:r>
      <w:r w:rsidR="00C8589C" w:rsidRPr="00C8589C">
        <w:rPr>
          <w:rFonts w:eastAsiaTheme="minorEastAsia" w:cstheme="minorBidi"/>
          <w:i/>
          <w:noProof/>
          <w:sz w:val="22"/>
          <w:szCs w:val="22"/>
          <w:lang w:eastAsia="en-GB"/>
        </w:rPr>
        <w:t xml:space="preserve"> </w:t>
      </w:r>
      <w:hyperlink r:id="rId34">
        <w:r w:rsidR="00C8589C" w:rsidRPr="00C8589C">
          <w:rPr>
            <w:noProof/>
            <w:color w:val="0563C1"/>
            <w:sz w:val="22"/>
            <w:szCs w:val="22"/>
            <w:u w:val="single"/>
            <w:lang w:eastAsia="en-GB"/>
          </w:rPr>
          <w:t>https://hias.org/statements/joint-civil-society-statement-migration-ministry-bill/</w:t>
        </w:r>
      </w:hyperlink>
      <w:r w:rsidR="00C8589C" w:rsidRPr="00C8589C">
        <w:rPr>
          <w:noProof/>
          <w:sz w:val="22"/>
          <w:szCs w:val="22"/>
          <w:lang w:eastAsia="en-GB"/>
        </w:rPr>
        <w:t>.</w:t>
      </w:r>
      <w:r w:rsidR="00C8589C" w:rsidRPr="4E1DA7AD">
        <w:rPr>
          <w:noProof/>
          <w:sz w:val="22"/>
          <w:szCs w:val="22"/>
          <w:lang w:eastAsia="en-GB"/>
        </w:rPr>
        <w:t xml:space="preserve">  </w:t>
      </w:r>
    </w:p>
    <w:p w14:paraId="18B52280" w14:textId="0CF9A9A1" w:rsidR="00E51455" w:rsidRPr="000275CD" w:rsidRDefault="00E51455" w:rsidP="00E51455">
      <w:pPr>
        <w:spacing w:after="120"/>
        <w:rPr>
          <w:noProof/>
          <w:sz w:val="22"/>
          <w:szCs w:val="22"/>
          <w:lang w:eastAsia="en-GB"/>
        </w:rPr>
      </w:pPr>
      <w:r w:rsidRPr="000275CD">
        <w:rPr>
          <w:noProof/>
          <w:sz w:val="22"/>
          <w:szCs w:val="22"/>
          <w:lang w:eastAsia="en-GB"/>
        </w:rPr>
        <w:t xml:space="preserve">Human </w:t>
      </w:r>
      <w:r w:rsidRPr="49A20FC7">
        <w:rPr>
          <w:noProof/>
          <w:sz w:val="22"/>
          <w:szCs w:val="22"/>
          <w:lang w:eastAsia="en-GB"/>
        </w:rPr>
        <w:t>Right</w:t>
      </w:r>
      <w:r w:rsidR="7B3B800B" w:rsidRPr="49A20FC7">
        <w:rPr>
          <w:noProof/>
          <w:sz w:val="22"/>
          <w:szCs w:val="22"/>
          <w:lang w:eastAsia="en-GB"/>
        </w:rPr>
        <w:t>s</w:t>
      </w:r>
      <w:r w:rsidRPr="000275CD">
        <w:rPr>
          <w:noProof/>
          <w:sz w:val="22"/>
          <w:szCs w:val="22"/>
          <w:lang w:eastAsia="en-GB"/>
        </w:rPr>
        <w:t xml:space="preserve"> Watch (2026), </w:t>
      </w:r>
      <w:r w:rsidRPr="002C006C">
        <w:rPr>
          <w:i/>
          <w:iCs/>
          <w:noProof/>
          <w:sz w:val="22"/>
          <w:szCs w:val="22"/>
          <w:lang w:eastAsia="en-GB"/>
        </w:rPr>
        <w:t>Greece Rule of Law Update</w:t>
      </w:r>
      <w:r w:rsidRPr="000275CD">
        <w:rPr>
          <w:noProof/>
          <w:sz w:val="22"/>
          <w:szCs w:val="22"/>
          <w:lang w:eastAsia="en-GB"/>
        </w:rPr>
        <w:t xml:space="preserve">. </w:t>
      </w:r>
    </w:p>
    <w:p w14:paraId="77F94903"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International Press Institute (2026), </w:t>
      </w:r>
      <w:r w:rsidRPr="000275CD">
        <w:rPr>
          <w:i/>
          <w:iCs/>
          <w:noProof/>
          <w:sz w:val="22"/>
          <w:szCs w:val="22"/>
          <w:lang w:eastAsia="en-GB"/>
        </w:rPr>
        <w:t>Input for the 2026 Rule of Law Report.</w:t>
      </w:r>
    </w:p>
    <w:p w14:paraId="5E4EAB2E" w14:textId="7FC880E1" w:rsidR="003B3964" w:rsidRPr="003B3964" w:rsidRDefault="00377B54" w:rsidP="00E51455">
      <w:pPr>
        <w:spacing w:after="120"/>
        <w:rPr>
          <w:i/>
          <w:iCs/>
          <w:noProof/>
          <w:sz w:val="22"/>
          <w:szCs w:val="22"/>
          <w:lang w:eastAsia="en-GB"/>
        </w:rPr>
      </w:pPr>
      <w:r>
        <w:rPr>
          <w:noProof/>
          <w:sz w:val="22"/>
          <w:szCs w:val="22"/>
          <w:lang w:eastAsia="en-GB"/>
        </w:rPr>
        <w:t xml:space="preserve">Judicial </w:t>
      </w:r>
      <w:r w:rsidR="003B3964">
        <w:rPr>
          <w:noProof/>
          <w:sz w:val="22"/>
          <w:szCs w:val="22"/>
          <w:lang w:eastAsia="en-GB"/>
        </w:rPr>
        <w:t xml:space="preserve">associations (2025), </w:t>
      </w:r>
      <w:r w:rsidR="003B3964" w:rsidRPr="003B3964">
        <w:rPr>
          <w:i/>
          <w:iCs/>
          <w:noProof/>
          <w:sz w:val="22"/>
          <w:szCs w:val="22"/>
          <w:lang w:eastAsia="en-GB"/>
        </w:rPr>
        <w:t>Joint Petition to the Minister of Finance, 4 September 2025</w:t>
      </w:r>
      <w:r w:rsidR="003B3964">
        <w:rPr>
          <w:i/>
          <w:iCs/>
          <w:noProof/>
          <w:sz w:val="22"/>
          <w:szCs w:val="22"/>
          <w:lang w:eastAsia="en-GB"/>
        </w:rPr>
        <w:t>.</w:t>
      </w:r>
      <w:r w:rsidR="003B3964" w:rsidRPr="003B3964">
        <w:rPr>
          <w:i/>
          <w:iCs/>
          <w:noProof/>
          <w:sz w:val="22"/>
          <w:szCs w:val="22"/>
          <w:lang w:eastAsia="en-GB"/>
        </w:rPr>
        <w:t xml:space="preserve"> </w:t>
      </w:r>
    </w:p>
    <w:p w14:paraId="3172E0FE" w14:textId="04CA41E5" w:rsidR="00E51455" w:rsidRPr="000275CD" w:rsidRDefault="00E51455" w:rsidP="00E51455">
      <w:pPr>
        <w:spacing w:after="120"/>
        <w:rPr>
          <w:i/>
          <w:iCs/>
          <w:noProof/>
          <w:sz w:val="22"/>
          <w:szCs w:val="22"/>
          <w:lang w:eastAsia="en-GB"/>
        </w:rPr>
      </w:pPr>
      <w:r w:rsidRPr="000275CD">
        <w:rPr>
          <w:noProof/>
          <w:sz w:val="22"/>
          <w:szCs w:val="22"/>
          <w:lang w:eastAsia="en-GB"/>
        </w:rPr>
        <w:t>KEFIM (2025)</w:t>
      </w:r>
      <w:r w:rsidRPr="000275CD">
        <w:rPr>
          <w:i/>
          <w:iCs/>
          <w:noProof/>
          <w:sz w:val="22"/>
          <w:szCs w:val="22"/>
          <w:lang w:eastAsia="en-GB"/>
        </w:rPr>
        <w:t xml:space="preserve"> Quality of Law-Making Index 2024.</w:t>
      </w:r>
    </w:p>
    <w:p w14:paraId="1F2E2F24" w14:textId="0DF21DEA" w:rsidR="00E51455" w:rsidRDefault="00E51455" w:rsidP="00E51455">
      <w:pPr>
        <w:spacing w:after="120"/>
        <w:rPr>
          <w:i/>
          <w:iCs/>
          <w:noProof/>
          <w:sz w:val="22"/>
          <w:szCs w:val="22"/>
          <w:lang w:eastAsia="en-GB"/>
        </w:rPr>
      </w:pPr>
      <w:r w:rsidRPr="000275CD">
        <w:rPr>
          <w:noProof/>
          <w:sz w:val="22"/>
          <w:szCs w:val="22"/>
          <w:lang w:eastAsia="en-GB"/>
        </w:rPr>
        <w:t>KEFIM (2026</w:t>
      </w:r>
      <w:r w:rsidR="0006163D">
        <w:rPr>
          <w:noProof/>
          <w:sz w:val="22"/>
          <w:szCs w:val="22"/>
          <w:lang w:eastAsia="en-GB"/>
        </w:rPr>
        <w:t>a</w:t>
      </w:r>
      <w:r w:rsidRPr="000275CD">
        <w:rPr>
          <w:noProof/>
          <w:sz w:val="22"/>
          <w:szCs w:val="22"/>
          <w:lang w:eastAsia="en-GB"/>
        </w:rPr>
        <w:t xml:space="preserve">), </w:t>
      </w:r>
      <w:r w:rsidRPr="000275CD">
        <w:rPr>
          <w:i/>
          <w:noProof/>
          <w:sz w:val="22"/>
          <w:szCs w:val="22"/>
          <w:lang w:eastAsia="en-GB"/>
        </w:rPr>
        <w:t>Despite some individual improvements, the legislative process in Greece is carried out on the fly</w:t>
      </w:r>
      <w:r w:rsidR="0014345E">
        <w:rPr>
          <w:i/>
          <w:noProof/>
          <w:sz w:val="22"/>
          <w:szCs w:val="22"/>
          <w:lang w:eastAsia="en-GB"/>
        </w:rPr>
        <w:t xml:space="preserve">, </w:t>
      </w:r>
      <w:hyperlink r:id="rId35" w:history="1">
        <w:r w:rsidR="0014345E" w:rsidRPr="0014345E">
          <w:rPr>
            <w:rStyle w:val="Hyperlink"/>
            <w:i/>
            <w:noProof/>
            <w:sz w:val="22"/>
            <w:szCs w:val="22"/>
            <w:lang w:eastAsia="en-GB"/>
          </w:rPr>
          <w:t>https://kefim.org/para-tis-epimerous-veltioseis-i-nomothetiki-diadikasia-stin-ellada-ginetai-sto-podi/</w:t>
        </w:r>
      </w:hyperlink>
      <w:r w:rsidRPr="000275CD">
        <w:rPr>
          <w:i/>
          <w:iCs/>
          <w:noProof/>
          <w:sz w:val="22"/>
          <w:szCs w:val="22"/>
          <w:lang w:eastAsia="en-GB"/>
        </w:rPr>
        <w:t xml:space="preserve"> </w:t>
      </w:r>
    </w:p>
    <w:p w14:paraId="0A289601" w14:textId="5FE5902D" w:rsidR="0006163D" w:rsidRPr="000275CD" w:rsidRDefault="0006163D" w:rsidP="00E51455">
      <w:pPr>
        <w:spacing w:after="120"/>
        <w:rPr>
          <w:i/>
          <w:iCs/>
          <w:noProof/>
          <w:sz w:val="22"/>
          <w:szCs w:val="22"/>
          <w:lang w:eastAsia="en-GB"/>
        </w:rPr>
      </w:pPr>
      <w:r w:rsidRPr="000275CD">
        <w:rPr>
          <w:noProof/>
          <w:sz w:val="22"/>
          <w:szCs w:val="22"/>
          <w:lang w:eastAsia="en-GB"/>
        </w:rPr>
        <w:t>KEFIM (2026</w:t>
      </w:r>
      <w:r>
        <w:rPr>
          <w:noProof/>
          <w:sz w:val="22"/>
          <w:szCs w:val="22"/>
          <w:lang w:eastAsia="en-GB"/>
        </w:rPr>
        <w:t>b</w:t>
      </w:r>
      <w:r w:rsidRPr="000275CD">
        <w:rPr>
          <w:noProof/>
          <w:sz w:val="22"/>
          <w:szCs w:val="22"/>
          <w:lang w:eastAsia="en-GB"/>
        </w:rPr>
        <w:t>),</w:t>
      </w:r>
      <w:r w:rsidR="00EA4709">
        <w:rPr>
          <w:noProof/>
          <w:sz w:val="22"/>
          <w:szCs w:val="22"/>
          <w:lang w:eastAsia="en-GB"/>
        </w:rPr>
        <w:t xml:space="preserve"> </w:t>
      </w:r>
      <w:r w:rsidR="00EA4709" w:rsidRPr="006407CA">
        <w:rPr>
          <w:i/>
          <w:iCs/>
          <w:noProof/>
          <w:sz w:val="22"/>
          <w:szCs w:val="22"/>
          <w:lang w:eastAsia="en-GB"/>
        </w:rPr>
        <w:t xml:space="preserve">Policy brief: </w:t>
      </w:r>
      <w:r w:rsidR="006407CA" w:rsidRPr="006407CA">
        <w:rPr>
          <w:i/>
          <w:iCs/>
          <w:noProof/>
          <w:sz w:val="22"/>
          <w:szCs w:val="22"/>
          <w:lang w:eastAsia="en-GB"/>
        </w:rPr>
        <w:t>What time are amendments submitted to Parliament</w:t>
      </w:r>
      <w:r w:rsidR="00112FD4">
        <w:rPr>
          <w:i/>
          <w:iCs/>
          <w:noProof/>
          <w:sz w:val="22"/>
          <w:szCs w:val="22"/>
          <w:lang w:eastAsia="en-GB"/>
        </w:rPr>
        <w:t>?</w:t>
      </w:r>
      <w:r w:rsidR="0012034B">
        <w:rPr>
          <w:i/>
          <w:iCs/>
          <w:noProof/>
          <w:sz w:val="22"/>
          <w:szCs w:val="22"/>
          <w:lang w:eastAsia="en-GB"/>
        </w:rPr>
        <w:t xml:space="preserve"> </w:t>
      </w:r>
      <w:hyperlink r:id="rId36" w:history="1">
        <w:r w:rsidR="001A30BC" w:rsidRPr="00672F7B">
          <w:rPr>
            <w:rStyle w:val="Hyperlink"/>
            <w:i/>
            <w:iCs/>
            <w:noProof/>
            <w:sz w:val="22"/>
            <w:szCs w:val="22"/>
            <w:lang w:eastAsia="en-GB"/>
          </w:rPr>
          <w:t>https://kefim.org/wp-content/uploads/2026/06/PB_No9_26_Tropologies.pdf</w:t>
        </w:r>
      </w:hyperlink>
    </w:p>
    <w:p w14:paraId="49D33AC4" w14:textId="77777777" w:rsidR="00E51455" w:rsidRPr="002C006C" w:rsidRDefault="00E51455" w:rsidP="00D03119">
      <w:pPr>
        <w:rPr>
          <w:rFonts w:eastAsiaTheme="minorHAnsi" w:cstheme="minorBidi"/>
          <w:i/>
          <w:iCs/>
          <w:noProof/>
          <w:sz w:val="22"/>
          <w:szCs w:val="22"/>
          <w:lang w:eastAsia="en-US"/>
        </w:rPr>
      </w:pPr>
      <w:r w:rsidRPr="000275CD">
        <w:rPr>
          <w:rFonts w:eastAsiaTheme="minorHAnsi" w:cstheme="minorBidi"/>
          <w:noProof/>
          <w:sz w:val="22"/>
          <w:szCs w:val="22"/>
          <w:lang w:eastAsia="en-US"/>
        </w:rPr>
        <w:t xml:space="preserve">Media Pluralism Monitor (2026), </w:t>
      </w:r>
      <w:r w:rsidRPr="002C006C">
        <w:rPr>
          <w:rFonts w:eastAsiaTheme="minorHAnsi" w:cstheme="minorBidi"/>
          <w:i/>
          <w:iCs/>
          <w:noProof/>
          <w:sz w:val="22"/>
          <w:szCs w:val="22"/>
          <w:lang w:eastAsia="en-US"/>
        </w:rPr>
        <w:t>Greece country report.</w:t>
      </w:r>
    </w:p>
    <w:p w14:paraId="47823E01" w14:textId="77777777" w:rsidR="00E51455" w:rsidRPr="000275CD" w:rsidRDefault="00E51455" w:rsidP="00D03119">
      <w:pPr>
        <w:spacing w:after="120"/>
        <w:rPr>
          <w:noProof/>
          <w:sz w:val="22"/>
          <w:szCs w:val="22"/>
          <w:lang w:eastAsia="en-GB"/>
        </w:rPr>
      </w:pPr>
      <w:r w:rsidRPr="000275CD">
        <w:rPr>
          <w:noProof/>
          <w:sz w:val="22"/>
          <w:szCs w:val="22"/>
          <w:lang w:eastAsia="en-GB"/>
        </w:rPr>
        <w:t xml:space="preserve">National Commission for Human Rights (2026a), </w:t>
      </w:r>
      <w:r w:rsidRPr="000275CD">
        <w:rPr>
          <w:i/>
          <w:iCs/>
          <w:noProof/>
          <w:sz w:val="22"/>
          <w:szCs w:val="22"/>
          <w:lang w:eastAsia="en-GB"/>
        </w:rPr>
        <w:t>Statement on the provisions of the draft law that target CSOs</w:t>
      </w:r>
      <w:r w:rsidRPr="000275CD">
        <w:rPr>
          <w:noProof/>
          <w:sz w:val="22"/>
          <w:szCs w:val="22"/>
          <w:lang w:eastAsia="en-GB"/>
        </w:rPr>
        <w:t xml:space="preserve">. </w:t>
      </w:r>
    </w:p>
    <w:p w14:paraId="6A918D2B" w14:textId="77777777" w:rsidR="00E51455" w:rsidRPr="000275CD" w:rsidRDefault="00E51455" w:rsidP="00D03119">
      <w:pPr>
        <w:spacing w:after="120"/>
        <w:rPr>
          <w:i/>
          <w:iCs/>
          <w:noProof/>
          <w:sz w:val="22"/>
          <w:szCs w:val="22"/>
          <w:lang w:eastAsia="en-GB"/>
        </w:rPr>
      </w:pPr>
      <w:r w:rsidRPr="000275CD">
        <w:rPr>
          <w:noProof/>
          <w:sz w:val="22"/>
          <w:szCs w:val="22"/>
          <w:lang w:eastAsia="en-GB"/>
        </w:rPr>
        <w:t>National Commission for Human Rights (2026b),</w:t>
      </w:r>
      <w:r w:rsidRPr="000275CD">
        <w:rPr>
          <w:i/>
          <w:iCs/>
          <w:noProof/>
          <w:sz w:val="22"/>
          <w:szCs w:val="22"/>
          <w:lang w:eastAsia="en-GB"/>
        </w:rPr>
        <w:t xml:space="preserve"> Statement: Absolute necessity for an immediate, thorough, and effective investigation into the deadly shipwreck near Chios.</w:t>
      </w:r>
    </w:p>
    <w:p w14:paraId="6CE19E88"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National Council for Radio and Television (NCRTV) (2026), </w:t>
      </w:r>
      <w:r w:rsidRPr="000275CD">
        <w:rPr>
          <w:i/>
          <w:iCs/>
          <w:noProof/>
          <w:sz w:val="22"/>
          <w:szCs w:val="22"/>
          <w:lang w:eastAsia="en-GB"/>
        </w:rPr>
        <w:t>Input for the 2026 Rule of Law Report.</w:t>
      </w:r>
    </w:p>
    <w:p w14:paraId="268BC789"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National Transparency Authority (NTA 2026), </w:t>
      </w:r>
      <w:r w:rsidRPr="000275CD">
        <w:rPr>
          <w:i/>
          <w:noProof/>
          <w:sz w:val="22"/>
          <w:szCs w:val="22"/>
          <w:lang w:eastAsia="en-GB"/>
        </w:rPr>
        <w:t xml:space="preserve">Written input </w:t>
      </w:r>
      <w:r w:rsidRPr="000275CD">
        <w:rPr>
          <w:i/>
          <w:iCs/>
          <w:noProof/>
          <w:sz w:val="22"/>
          <w:szCs w:val="22"/>
          <w:lang w:eastAsia="en-GB"/>
        </w:rPr>
        <w:t>for the 2026 Rule of Law Report</w:t>
      </w:r>
      <w:r w:rsidRPr="000275CD">
        <w:rPr>
          <w:i/>
          <w:noProof/>
          <w:sz w:val="22"/>
          <w:szCs w:val="22"/>
          <w:lang w:eastAsia="en-GB"/>
        </w:rPr>
        <w:t xml:space="preserve"> in the context of the country visit to Greece.</w:t>
      </w:r>
    </w:p>
    <w:p w14:paraId="5B729D9F" w14:textId="77777777" w:rsidR="00E51455" w:rsidRPr="000275CD" w:rsidRDefault="00E51455" w:rsidP="00E51455">
      <w:pPr>
        <w:spacing w:after="120"/>
        <w:rPr>
          <w:i/>
          <w:noProof/>
          <w:sz w:val="22"/>
          <w:szCs w:val="22"/>
          <w:lang w:eastAsia="en-GB"/>
        </w:rPr>
      </w:pPr>
      <w:r w:rsidRPr="000275CD">
        <w:rPr>
          <w:noProof/>
          <w:sz w:val="22"/>
          <w:szCs w:val="22"/>
          <w:lang w:eastAsia="en-GB"/>
        </w:rPr>
        <w:t xml:space="preserve">National Transparency Authority (NTA 2026a), </w:t>
      </w:r>
      <w:r w:rsidRPr="000275CD">
        <w:rPr>
          <w:i/>
          <w:noProof/>
          <w:sz w:val="22"/>
          <w:szCs w:val="22"/>
          <w:lang w:eastAsia="en-GB"/>
        </w:rPr>
        <w:t xml:space="preserve">Additional written input </w:t>
      </w:r>
      <w:r w:rsidRPr="000275CD">
        <w:rPr>
          <w:i/>
          <w:iCs/>
          <w:noProof/>
          <w:sz w:val="22"/>
          <w:szCs w:val="22"/>
          <w:lang w:eastAsia="en-GB"/>
        </w:rPr>
        <w:t>for the 2026 Rule of Law Report</w:t>
      </w:r>
      <w:r w:rsidRPr="000275CD">
        <w:rPr>
          <w:i/>
          <w:noProof/>
          <w:sz w:val="22"/>
          <w:szCs w:val="22"/>
          <w:lang w:eastAsia="en-GB"/>
        </w:rPr>
        <w:t xml:space="preserve"> in the context of the country visit to Greece.</w:t>
      </w:r>
    </w:p>
    <w:p w14:paraId="5715C835" w14:textId="492EBA51" w:rsidR="00E51455" w:rsidRPr="00C06235" w:rsidRDefault="00E51455" w:rsidP="00E51455">
      <w:pPr>
        <w:spacing w:after="120"/>
        <w:rPr>
          <w:noProof/>
          <w:sz w:val="22"/>
          <w:szCs w:val="22"/>
          <w:lang w:eastAsia="en-GB"/>
        </w:rPr>
      </w:pPr>
      <w:r w:rsidRPr="000275CD">
        <w:rPr>
          <w:noProof/>
          <w:sz w:val="22"/>
          <w:szCs w:val="22"/>
          <w:lang w:eastAsia="en-GB"/>
        </w:rPr>
        <w:t xml:space="preserve">National Transparency Authority (2026b), </w:t>
      </w:r>
      <w:r w:rsidRPr="000275CD">
        <w:rPr>
          <w:i/>
          <w:iCs/>
          <w:noProof/>
          <w:sz w:val="22"/>
          <w:szCs w:val="22"/>
          <w:lang w:eastAsia="en-GB"/>
        </w:rPr>
        <w:t>External Evaluation: Effectiveness ESSKD 2022-2025 Final Report</w:t>
      </w:r>
      <w:r w:rsidR="00B009FF">
        <w:rPr>
          <w:noProof/>
          <w:sz w:val="22"/>
          <w:szCs w:val="22"/>
          <w:lang w:eastAsia="en-GB"/>
        </w:rPr>
        <w:t>.</w:t>
      </w:r>
    </w:p>
    <w:p w14:paraId="79AE8539"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National Transparency Authority (2024), </w:t>
      </w:r>
      <w:r w:rsidRPr="000275CD">
        <w:rPr>
          <w:i/>
          <w:iCs/>
          <w:noProof/>
          <w:sz w:val="22"/>
          <w:szCs w:val="22"/>
          <w:lang w:eastAsia="en-GB"/>
        </w:rPr>
        <w:t xml:space="preserve">Annual Report, </w:t>
      </w:r>
      <w:hyperlink r:id="rId37" w:history="1">
        <w:r w:rsidRPr="000275CD">
          <w:rPr>
            <w:i/>
            <w:iCs/>
            <w:noProof/>
            <w:color w:val="0563C1" w:themeColor="hyperlink"/>
            <w:sz w:val="22"/>
            <w:szCs w:val="22"/>
            <w:u w:val="single"/>
            <w:lang w:eastAsia="en-GB"/>
          </w:rPr>
          <w:t>https://aead.gr/en/publications-en/reports-en/annual-report-nta-2024</w:t>
        </w:r>
      </w:hyperlink>
      <w:r w:rsidRPr="000275CD">
        <w:rPr>
          <w:i/>
          <w:iCs/>
          <w:noProof/>
          <w:sz w:val="22"/>
          <w:szCs w:val="22"/>
          <w:lang w:eastAsia="en-GB"/>
        </w:rPr>
        <w:t xml:space="preserve">.   </w:t>
      </w:r>
    </w:p>
    <w:p w14:paraId="3739D218"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OECD (2025), </w:t>
      </w:r>
      <w:r w:rsidRPr="000275CD">
        <w:rPr>
          <w:i/>
          <w:iCs/>
          <w:noProof/>
          <w:sz w:val="22"/>
          <w:szCs w:val="22"/>
          <w:lang w:eastAsia="en-GB"/>
        </w:rPr>
        <w:t>Better Regulation across the European Union 2025</w:t>
      </w:r>
      <w:r w:rsidRPr="000275CD">
        <w:rPr>
          <w:noProof/>
          <w:sz w:val="22"/>
          <w:szCs w:val="22"/>
          <w:lang w:eastAsia="en-GB"/>
        </w:rPr>
        <w:t xml:space="preserve">, </w:t>
      </w:r>
      <w:hyperlink r:id="rId38" w:history="1">
        <w:r w:rsidRPr="000275CD">
          <w:rPr>
            <w:noProof/>
            <w:color w:val="0563C1" w:themeColor="hyperlink"/>
            <w:sz w:val="22"/>
            <w:szCs w:val="22"/>
            <w:u w:val="single"/>
            <w:lang w:eastAsia="en-GB"/>
          </w:rPr>
          <w:t>https://www.oecd.org/en/publications/better-regulation-practices-across-the-european-union-2025_6f007516-en/full-report.html</w:t>
        </w:r>
      </w:hyperlink>
      <w:r w:rsidRPr="000275CD">
        <w:rPr>
          <w:noProof/>
          <w:sz w:val="22"/>
          <w:szCs w:val="22"/>
          <w:lang w:eastAsia="en-GB"/>
        </w:rPr>
        <w:t>.</w:t>
      </w:r>
    </w:p>
    <w:p w14:paraId="403DBC42" w14:textId="739A2B79" w:rsidR="00E51455" w:rsidRPr="00C06235" w:rsidRDefault="00E51455" w:rsidP="00E51455">
      <w:pPr>
        <w:spacing w:after="120"/>
        <w:rPr>
          <w:noProof/>
          <w:sz w:val="22"/>
          <w:szCs w:val="22"/>
          <w:lang w:eastAsia="en-GB"/>
        </w:rPr>
      </w:pPr>
      <w:r w:rsidRPr="000275CD">
        <w:rPr>
          <w:rFonts w:eastAsiaTheme="minorHAnsi" w:cstheme="minorBidi"/>
          <w:noProof/>
          <w:sz w:val="22"/>
          <w:szCs w:val="22"/>
          <w:lang w:eastAsia="fr-FR"/>
        </w:rPr>
        <w:t xml:space="preserve">Parliament Committee for the Investigation of Declaration of Assets (CIDA) (2026), </w:t>
      </w:r>
      <w:r w:rsidRPr="000275CD">
        <w:rPr>
          <w:rFonts w:eastAsiaTheme="minorHAnsi" w:cstheme="minorBidi"/>
          <w:i/>
          <w:iCs/>
          <w:noProof/>
          <w:sz w:val="22"/>
          <w:szCs w:val="22"/>
          <w:lang w:eastAsia="fr-FR"/>
        </w:rPr>
        <w:t>Additional written input for the Rule of Law Report</w:t>
      </w:r>
      <w:r w:rsidR="00932FDC">
        <w:rPr>
          <w:rFonts w:eastAsiaTheme="minorHAnsi" w:cstheme="minorBidi"/>
          <w:noProof/>
          <w:sz w:val="22"/>
          <w:szCs w:val="22"/>
          <w:lang w:eastAsia="fr-FR"/>
        </w:rPr>
        <w:t>.</w:t>
      </w:r>
    </w:p>
    <w:p w14:paraId="1B6C0C24" w14:textId="77777777" w:rsidR="00E51455" w:rsidRPr="000275CD" w:rsidRDefault="00E51455" w:rsidP="00E51455">
      <w:pPr>
        <w:spacing w:after="120"/>
        <w:rPr>
          <w:rFonts w:eastAsiaTheme="minorHAnsi" w:cstheme="minorBidi"/>
          <w:i/>
          <w:noProof/>
          <w:sz w:val="22"/>
          <w:szCs w:val="22"/>
          <w:lang w:eastAsia="en-US"/>
        </w:rPr>
      </w:pPr>
      <w:r w:rsidRPr="000275CD">
        <w:rPr>
          <w:rFonts w:eastAsiaTheme="minorHAnsi" w:cstheme="minorBidi"/>
          <w:noProof/>
          <w:sz w:val="22"/>
          <w:szCs w:val="22"/>
          <w:lang w:eastAsia="en-US"/>
        </w:rPr>
        <w:t xml:space="preserve">Plenary of Bar Associations (2026a), </w:t>
      </w:r>
      <w:r w:rsidRPr="000275CD">
        <w:rPr>
          <w:rFonts w:eastAsiaTheme="minorHAnsi" w:cstheme="minorBidi"/>
          <w:i/>
          <w:noProof/>
          <w:sz w:val="22"/>
          <w:szCs w:val="22"/>
          <w:lang w:eastAsia="en-US"/>
        </w:rPr>
        <w:t xml:space="preserve">Coordination Committee: Immediate abolition of article 1536(2) of the Civil Code. </w:t>
      </w:r>
    </w:p>
    <w:p w14:paraId="1B1A8497" w14:textId="77777777" w:rsidR="00E51455" w:rsidRPr="000275CD" w:rsidRDefault="00E51455" w:rsidP="00E51455">
      <w:pPr>
        <w:spacing w:after="120"/>
        <w:rPr>
          <w:rFonts w:eastAsiaTheme="minorHAnsi" w:cstheme="minorBidi"/>
          <w:i/>
          <w:noProof/>
          <w:sz w:val="22"/>
          <w:szCs w:val="22"/>
          <w:lang w:eastAsia="en-US"/>
        </w:rPr>
      </w:pPr>
      <w:r w:rsidRPr="000275CD">
        <w:rPr>
          <w:rFonts w:eastAsiaTheme="minorHAnsi" w:cstheme="minorBidi"/>
          <w:iCs/>
          <w:noProof/>
          <w:sz w:val="22"/>
          <w:szCs w:val="22"/>
          <w:lang w:eastAsia="en-US"/>
        </w:rPr>
        <w:t>Plenary of Bar Associations (2026b),</w:t>
      </w:r>
      <w:r w:rsidRPr="000275CD">
        <w:rPr>
          <w:rFonts w:eastAsiaTheme="minorHAnsi" w:cstheme="minorBidi"/>
          <w:i/>
          <w:noProof/>
          <w:sz w:val="22"/>
          <w:szCs w:val="22"/>
          <w:lang w:eastAsia="en-US"/>
        </w:rPr>
        <w:t xml:space="preserve"> Decisions on legal practice and other major issues of legal current affairs, 8 March 2026.</w:t>
      </w:r>
    </w:p>
    <w:p w14:paraId="635D6195" w14:textId="77777777" w:rsidR="00E51455" w:rsidRPr="000275CD" w:rsidRDefault="00E51455" w:rsidP="00E51455">
      <w:pPr>
        <w:spacing w:after="120"/>
        <w:rPr>
          <w:rFonts w:eastAsiaTheme="minorHAnsi" w:cstheme="minorBidi"/>
          <w:noProof/>
          <w:sz w:val="22"/>
          <w:szCs w:val="22"/>
          <w:lang w:eastAsia="en-US"/>
        </w:rPr>
      </w:pPr>
      <w:r w:rsidRPr="000275CD">
        <w:rPr>
          <w:rFonts w:eastAsiaTheme="minorHAnsi" w:cstheme="minorBidi"/>
          <w:noProof/>
          <w:sz w:val="22"/>
          <w:szCs w:val="22"/>
          <w:lang w:eastAsia="en-US"/>
        </w:rPr>
        <w:t xml:space="preserve">Plenary of Bar Associations (2026c), </w:t>
      </w:r>
      <w:r w:rsidRPr="000275CD">
        <w:rPr>
          <w:rFonts w:eastAsiaTheme="minorHAnsi" w:cstheme="minorBidi"/>
          <w:i/>
          <w:iCs/>
          <w:noProof/>
          <w:sz w:val="22"/>
          <w:szCs w:val="22"/>
          <w:lang w:eastAsia="en-US"/>
        </w:rPr>
        <w:t>Resolution – Extraordinary Board Meeting of the Athens Bar Association on the wiretapping case, 29 April 2026.</w:t>
      </w:r>
    </w:p>
    <w:p w14:paraId="10756AF9" w14:textId="77777777" w:rsidR="00E51455" w:rsidRPr="000275CD" w:rsidRDefault="00E51455" w:rsidP="00E51455">
      <w:pPr>
        <w:spacing w:after="120"/>
        <w:rPr>
          <w:rFonts w:eastAsiaTheme="minorHAnsi" w:cstheme="minorBidi"/>
          <w:i/>
          <w:noProof/>
          <w:sz w:val="22"/>
          <w:szCs w:val="22"/>
          <w:lang w:eastAsia="en-US"/>
        </w:rPr>
      </w:pPr>
      <w:r w:rsidRPr="000275CD">
        <w:rPr>
          <w:rFonts w:eastAsiaTheme="minorHAnsi" w:cstheme="minorBidi"/>
          <w:noProof/>
          <w:sz w:val="22"/>
          <w:szCs w:val="22"/>
          <w:lang w:eastAsia="en-US"/>
        </w:rPr>
        <w:t xml:space="preserve">Plenary of Bar Associations (2026d), </w:t>
      </w:r>
      <w:r w:rsidRPr="000275CD">
        <w:rPr>
          <w:rFonts w:eastAsiaTheme="minorHAnsi" w:cstheme="minorBidi"/>
          <w:i/>
          <w:iCs/>
          <w:noProof/>
          <w:sz w:val="22"/>
          <w:szCs w:val="22"/>
          <w:lang w:eastAsia="en-US"/>
        </w:rPr>
        <w:t>Press conference at the Athens Bar Association on telephone wiretapping.</w:t>
      </w:r>
    </w:p>
    <w:p w14:paraId="03957DC5"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Reporters Without Borders (2026), </w:t>
      </w:r>
      <w:r w:rsidRPr="000275CD">
        <w:rPr>
          <w:i/>
          <w:iCs/>
          <w:noProof/>
          <w:sz w:val="22"/>
          <w:szCs w:val="22"/>
          <w:lang w:eastAsia="en-GB"/>
        </w:rPr>
        <w:t>Input for the 2026 Rule of Law Report.</w:t>
      </w:r>
    </w:p>
    <w:p w14:paraId="1906A198" w14:textId="2015D933" w:rsidR="00E51455" w:rsidRPr="000275CD" w:rsidRDefault="00E51455" w:rsidP="00E51455">
      <w:pPr>
        <w:spacing w:after="120"/>
        <w:rPr>
          <w:noProof/>
          <w:sz w:val="22"/>
          <w:szCs w:val="22"/>
          <w:lang w:eastAsia="en-GB"/>
        </w:rPr>
      </w:pPr>
      <w:r w:rsidRPr="000275CD">
        <w:rPr>
          <w:noProof/>
          <w:sz w:val="22"/>
          <w:szCs w:val="22"/>
          <w:lang w:eastAsia="en-GB"/>
        </w:rPr>
        <w:t xml:space="preserve">Supreme Court (2025), </w:t>
      </w:r>
      <w:r w:rsidRPr="002C006C">
        <w:rPr>
          <w:i/>
          <w:iCs/>
          <w:noProof/>
          <w:sz w:val="22"/>
          <w:szCs w:val="22"/>
          <w:lang w:eastAsia="en-GB"/>
        </w:rPr>
        <w:t>Press release, 28 November 2025</w:t>
      </w:r>
      <w:r w:rsidR="00932FDC">
        <w:rPr>
          <w:noProof/>
          <w:sz w:val="22"/>
          <w:szCs w:val="22"/>
          <w:lang w:eastAsia="en-GB"/>
        </w:rPr>
        <w:t>.</w:t>
      </w:r>
    </w:p>
    <w:p w14:paraId="2E721272" w14:textId="77777777" w:rsidR="00E51455" w:rsidRPr="000275CD" w:rsidRDefault="00E51455" w:rsidP="00E51455">
      <w:pPr>
        <w:spacing w:after="120"/>
        <w:rPr>
          <w:noProof/>
          <w:sz w:val="22"/>
          <w:szCs w:val="22"/>
          <w:lang w:eastAsia="en-GB"/>
        </w:rPr>
      </w:pPr>
      <w:r w:rsidRPr="000275CD">
        <w:rPr>
          <w:rFonts w:eastAsiaTheme="minorHAnsi" w:cstheme="minorBidi"/>
          <w:noProof/>
          <w:sz w:val="22"/>
          <w:szCs w:val="22"/>
          <w:lang w:eastAsia="en-US"/>
        </w:rPr>
        <w:t xml:space="preserve">UNHCR/NCHR (2025), </w:t>
      </w:r>
      <w:r w:rsidRPr="000275CD">
        <w:rPr>
          <w:rFonts w:eastAsiaTheme="minorHAnsi" w:cstheme="minorBidi"/>
          <w:i/>
          <w:noProof/>
          <w:sz w:val="22"/>
          <w:szCs w:val="22"/>
          <w:lang w:eastAsia="en-US"/>
        </w:rPr>
        <w:t xml:space="preserve">Joint Statement, UNHCR and GNCHR express concern over rhetoric undermining civil society, </w:t>
      </w:r>
      <w:hyperlink r:id="rId39" w:history="1">
        <w:r w:rsidRPr="000275CD">
          <w:rPr>
            <w:rFonts w:eastAsiaTheme="minorHAnsi" w:cstheme="minorBidi"/>
            <w:iCs/>
            <w:noProof/>
            <w:color w:val="0563C1" w:themeColor="hyperlink"/>
            <w:sz w:val="22"/>
            <w:szCs w:val="22"/>
            <w:u w:val="single"/>
            <w:lang w:eastAsia="en-US"/>
          </w:rPr>
          <w:t>https://www.unhcr.org/gr/en/news/announcements/unhcr-and-gnchr-express-concern-over-rhetoric-undermining-civil-society</w:t>
        </w:r>
      </w:hyperlink>
      <w:r w:rsidRPr="000275CD">
        <w:rPr>
          <w:rFonts w:eastAsiaTheme="minorHAnsi" w:cstheme="minorBidi"/>
          <w:i/>
          <w:noProof/>
          <w:sz w:val="22"/>
          <w:szCs w:val="22"/>
          <w:lang w:eastAsia="en-US"/>
        </w:rPr>
        <w:t xml:space="preserve">. </w:t>
      </w:r>
      <w:r w:rsidRPr="000275CD">
        <w:rPr>
          <w:noProof/>
          <w:sz w:val="22"/>
          <w:szCs w:val="22"/>
          <w:lang w:eastAsia="en-GB"/>
        </w:rPr>
        <w:t xml:space="preserve"> </w:t>
      </w:r>
    </w:p>
    <w:p w14:paraId="693A6B2A"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United Nations (2025), </w:t>
      </w:r>
      <w:r w:rsidRPr="000275CD">
        <w:rPr>
          <w:i/>
          <w:iCs/>
          <w:noProof/>
          <w:sz w:val="22"/>
          <w:szCs w:val="22"/>
          <w:lang w:eastAsia="en-GB"/>
        </w:rPr>
        <w:t>Mandates of the Special Rapporteur on the situation of human rights defenders; the Special Rapporteur on the rights to freedom of peaceful assembly and of association and the Special Rapporteur on the human rights of migrants,</w:t>
      </w:r>
      <w:r w:rsidRPr="000275CD">
        <w:rPr>
          <w:noProof/>
          <w:sz w:val="22"/>
          <w:szCs w:val="22"/>
          <w:lang w:eastAsia="en-GB"/>
        </w:rPr>
        <w:t xml:space="preserve"> </w:t>
      </w:r>
      <w:r w:rsidRPr="000275CD">
        <w:rPr>
          <w:i/>
          <w:iCs/>
          <w:noProof/>
          <w:sz w:val="22"/>
          <w:szCs w:val="22"/>
          <w:lang w:eastAsia="en-GB"/>
        </w:rPr>
        <w:t>AL GRC 2/2025,</w:t>
      </w:r>
      <w:r w:rsidRPr="000275CD">
        <w:rPr>
          <w:noProof/>
          <w:sz w:val="22"/>
          <w:szCs w:val="22"/>
          <w:lang w:eastAsia="en-GB"/>
        </w:rPr>
        <w:t xml:space="preserve"> </w:t>
      </w:r>
      <w:r w:rsidRPr="000275CD">
        <w:rPr>
          <w:i/>
          <w:noProof/>
          <w:sz w:val="22"/>
          <w:szCs w:val="22"/>
          <w:lang w:eastAsia="en-GB"/>
        </w:rPr>
        <w:t>16 September 2025</w:t>
      </w:r>
      <w:r w:rsidRPr="000275CD">
        <w:rPr>
          <w:noProof/>
          <w:sz w:val="22"/>
          <w:szCs w:val="22"/>
          <w:lang w:eastAsia="en-GB"/>
        </w:rPr>
        <w:t xml:space="preserve">, </w:t>
      </w:r>
      <w:hyperlink r:id="rId40" w:anchor=":~:text=On%2020%20August%202025%2C%20the,of%20asylum%2C%20or%20misuse%20funds" w:history="1">
        <w:r w:rsidRPr="000275CD">
          <w:rPr>
            <w:noProof/>
            <w:color w:val="0563C1" w:themeColor="hyperlink"/>
            <w:sz w:val="22"/>
            <w:szCs w:val="22"/>
            <w:u w:val="single"/>
            <w:lang w:eastAsia="en-GB"/>
          </w:rPr>
          <w:t>https://spcommreports.ohchr.org/TMResultsBase/DownLoadPublicCommunicationFile?gId=30349#:~:text=On%2020%20August%202025%2C%20the,of%20asylum%2C%20or%20misuse%20funds</w:t>
        </w:r>
      </w:hyperlink>
      <w:r w:rsidRPr="000275CD">
        <w:rPr>
          <w:noProof/>
          <w:sz w:val="22"/>
          <w:szCs w:val="22"/>
          <w:lang w:eastAsia="en-GB"/>
        </w:rPr>
        <w:t xml:space="preserve">.  </w:t>
      </w:r>
    </w:p>
    <w:p w14:paraId="012E1C9A" w14:textId="77777777" w:rsidR="00E51455" w:rsidRPr="000275CD" w:rsidRDefault="00E51455" w:rsidP="00E51455">
      <w:pPr>
        <w:spacing w:after="120"/>
        <w:rPr>
          <w:noProof/>
          <w:sz w:val="22"/>
          <w:szCs w:val="22"/>
          <w:lang w:eastAsia="en-GB"/>
        </w:rPr>
      </w:pPr>
      <w:r w:rsidRPr="000275CD">
        <w:rPr>
          <w:noProof/>
          <w:sz w:val="22"/>
          <w:szCs w:val="22"/>
          <w:lang w:eastAsia="en-GB"/>
        </w:rPr>
        <w:t xml:space="preserve">United Nations (2026), </w:t>
      </w:r>
      <w:r w:rsidRPr="000275CD">
        <w:rPr>
          <w:i/>
          <w:iCs/>
          <w:noProof/>
          <w:sz w:val="22"/>
          <w:szCs w:val="22"/>
          <w:lang w:eastAsia="en-GB"/>
        </w:rPr>
        <w:t>Mandates of the Special Rapporteur on the situation of human rights defenders; the Special Rapporteur on the rights to freedom of peaceful assembly and of association; the Independent Expert on human rights and international solidarity; the Special Rapporteur on the human rights of migrants and the Special Rapporteur on trafficking in persons, especially women and children, ref. OL GRC 1/2026</w:t>
      </w:r>
      <w:r w:rsidRPr="000275CD">
        <w:rPr>
          <w:noProof/>
          <w:sz w:val="22"/>
          <w:szCs w:val="22"/>
          <w:lang w:eastAsia="en-GB"/>
        </w:rPr>
        <w:t xml:space="preserve">, </w:t>
      </w:r>
      <w:r w:rsidRPr="000275CD">
        <w:rPr>
          <w:i/>
          <w:noProof/>
          <w:sz w:val="22"/>
          <w:szCs w:val="22"/>
          <w:lang w:eastAsia="en-GB"/>
        </w:rPr>
        <w:t>19 February 2026</w:t>
      </w:r>
      <w:r w:rsidRPr="000275CD">
        <w:rPr>
          <w:noProof/>
          <w:sz w:val="22"/>
          <w:szCs w:val="22"/>
          <w:lang w:eastAsia="en-GB"/>
        </w:rPr>
        <w:t xml:space="preserve">, </w:t>
      </w:r>
      <w:hyperlink r:id="rId41" w:history="1">
        <w:r w:rsidRPr="000275CD">
          <w:rPr>
            <w:noProof/>
            <w:color w:val="0563C1" w:themeColor="hyperlink"/>
            <w:sz w:val="22"/>
            <w:szCs w:val="22"/>
            <w:u w:val="single"/>
            <w:lang w:eastAsia="en-GB"/>
          </w:rPr>
          <w:t>https://spcommreports.ohchr.org/TMResultsBase/DownLoadPublicCommunicationFile?gId=30750</w:t>
        </w:r>
      </w:hyperlink>
      <w:r w:rsidRPr="000275CD">
        <w:rPr>
          <w:noProof/>
          <w:sz w:val="22"/>
          <w:szCs w:val="22"/>
          <w:lang w:eastAsia="en-GB"/>
        </w:rPr>
        <w:t xml:space="preserve">. </w:t>
      </w:r>
    </w:p>
    <w:p w14:paraId="610BFA76" w14:textId="77777777" w:rsidR="00E51455" w:rsidRPr="000275CD" w:rsidRDefault="00E51455" w:rsidP="00E51455">
      <w:pPr>
        <w:spacing w:after="120"/>
        <w:rPr>
          <w:i/>
          <w:iCs/>
          <w:noProof/>
          <w:sz w:val="22"/>
          <w:szCs w:val="22"/>
          <w:lang w:eastAsia="en-GB"/>
        </w:rPr>
      </w:pPr>
      <w:r w:rsidRPr="000275CD">
        <w:rPr>
          <w:noProof/>
          <w:sz w:val="22"/>
          <w:szCs w:val="22"/>
          <w:lang w:eastAsia="en-GB"/>
        </w:rPr>
        <w:t xml:space="preserve">UN Human Rights Regional Office for Europe (OHCHR) (2026), </w:t>
      </w:r>
      <w:r w:rsidRPr="000275CD">
        <w:rPr>
          <w:i/>
          <w:iCs/>
          <w:noProof/>
          <w:sz w:val="22"/>
          <w:szCs w:val="22"/>
          <w:lang w:eastAsia="en-GB"/>
        </w:rPr>
        <w:t>Input for the 2026 Rule of Law Report.</w:t>
      </w:r>
    </w:p>
    <w:p w14:paraId="125C55DC" w14:textId="77777777" w:rsidR="00E51455" w:rsidRPr="000275CD" w:rsidRDefault="00E51455" w:rsidP="00E51455">
      <w:pPr>
        <w:spacing w:after="120"/>
        <w:rPr>
          <w:rFonts w:eastAsiaTheme="minorHAnsi" w:cstheme="minorBidi"/>
          <w:i/>
          <w:noProof/>
          <w:szCs w:val="22"/>
          <w:lang w:eastAsia="en-US"/>
        </w:rPr>
      </w:pPr>
      <w:r w:rsidRPr="000275CD">
        <w:rPr>
          <w:rFonts w:eastAsiaTheme="minorHAnsi" w:cstheme="minorBidi"/>
          <w:noProof/>
          <w:sz w:val="22"/>
          <w:szCs w:val="22"/>
          <w:lang w:eastAsia="en-US"/>
        </w:rPr>
        <w:t xml:space="preserve">Vouliwatch (2026), </w:t>
      </w:r>
      <w:r w:rsidRPr="000275CD">
        <w:rPr>
          <w:rFonts w:eastAsiaTheme="minorHAnsi" w:cstheme="minorBidi"/>
          <w:i/>
          <w:noProof/>
          <w:sz w:val="22"/>
          <w:szCs w:val="22"/>
          <w:lang w:eastAsia="en-US"/>
        </w:rPr>
        <w:t>Civic Space Contraction in Greece: Governmental Delegitimisation of an Independent Civil Society Organisation</w:t>
      </w:r>
      <w:r w:rsidRPr="000275CD">
        <w:rPr>
          <w:rFonts w:eastAsiaTheme="minorHAnsi" w:cstheme="minorBidi"/>
          <w:i/>
          <w:noProof/>
          <w:szCs w:val="22"/>
          <w:lang w:eastAsia="en-US"/>
        </w:rPr>
        <w:t>.</w:t>
      </w:r>
    </w:p>
    <w:p w14:paraId="7B569BFB" w14:textId="77777777" w:rsidR="00E51455" w:rsidRPr="000275CD" w:rsidRDefault="00E51455" w:rsidP="00E51455">
      <w:pPr>
        <w:pageBreakBefore/>
        <w:spacing w:after="120" w:line="264" w:lineRule="auto"/>
        <w:rPr>
          <w:b/>
          <w:noProof/>
          <w:lang w:eastAsia="en-GB"/>
        </w:rPr>
      </w:pPr>
      <w:r w:rsidRPr="000275CD">
        <w:rPr>
          <w:b/>
          <w:noProof/>
          <w:lang w:eastAsia="en-GB"/>
        </w:rPr>
        <w:t>Annex II: Country visit to Greece</w:t>
      </w:r>
    </w:p>
    <w:p w14:paraId="44AADBD4" w14:textId="77777777" w:rsidR="00E51455" w:rsidRPr="000275CD" w:rsidRDefault="00E51455" w:rsidP="00E51455">
      <w:pPr>
        <w:spacing w:after="120" w:line="264" w:lineRule="auto"/>
        <w:rPr>
          <w:noProof/>
          <w:shd w:val="clear" w:color="auto" w:fill="FFFFFF"/>
          <w:lang w:eastAsia="en-GB"/>
        </w:rPr>
      </w:pPr>
      <w:r w:rsidRPr="000275CD">
        <w:rPr>
          <w:noProof/>
          <w:lang w:eastAsia="en-GB"/>
        </w:rPr>
        <w:t>The Commission services held virtual meetings in March 2026 with:</w:t>
      </w:r>
    </w:p>
    <w:p w14:paraId="69C0205E"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Association of Administrative Judges</w:t>
      </w:r>
    </w:p>
    <w:p w14:paraId="0AA69383"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Association of Judges and Prosecutors</w:t>
      </w:r>
    </w:p>
    <w:p w14:paraId="3375C881"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Association of Judges of the Court of Audit</w:t>
      </w:r>
    </w:p>
    <w:p w14:paraId="4899D461" w14:textId="77777777" w:rsidR="00E51455" w:rsidRPr="000275CD" w:rsidRDefault="00E51455" w:rsidP="00E51455">
      <w:pPr>
        <w:numPr>
          <w:ilvl w:val="0"/>
          <w:numId w:val="21"/>
        </w:numPr>
        <w:spacing w:after="0" w:line="256" w:lineRule="auto"/>
        <w:contextualSpacing/>
        <w:rPr>
          <w:rFonts w:eastAsiaTheme="minorEastAsia"/>
          <w:noProof/>
          <w:bdr w:val="none" w:sz="0" w:space="0" w:color="auto" w:frame="1"/>
          <w:lang w:eastAsia="en-US"/>
        </w:rPr>
      </w:pPr>
      <w:r w:rsidRPr="38B685E2">
        <w:rPr>
          <w:rFonts w:eastAsiaTheme="minorEastAsia"/>
          <w:noProof/>
          <w:bdr w:val="none" w:sz="0" w:space="0" w:color="auto" w:frame="1"/>
          <w:lang w:eastAsia="en-US"/>
        </w:rPr>
        <w:t>Association of Notaries</w:t>
      </w:r>
    </w:p>
    <w:p w14:paraId="50756D12"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Committee of Parliament for the Investigation of Declarations of Assets (CIDA)</w:t>
      </w:r>
    </w:p>
    <w:p w14:paraId="43E63197"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Council of State</w:t>
      </w:r>
    </w:p>
    <w:p w14:paraId="710956D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Court of Audit</w:t>
      </w:r>
    </w:p>
    <w:p w14:paraId="0E54EF37"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Federation of Industries of Greece (SVE)</w:t>
      </w:r>
    </w:p>
    <w:p w14:paraId="6B69CF8B"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Foreign Press Association Greece</w:t>
      </w:r>
    </w:p>
    <w:p w14:paraId="554BFB09"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Greek Bar Associations</w:t>
      </w:r>
    </w:p>
    <w:p w14:paraId="5EEA65B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Greek Council for Refugees</w:t>
      </w:r>
    </w:p>
    <w:p w14:paraId="614C97A2"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Greek Ombudsman</w:t>
      </w:r>
    </w:p>
    <w:p w14:paraId="52621B9C"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Hellenic Data Protection Authority</w:t>
      </w:r>
    </w:p>
    <w:p w14:paraId="18CA0FE2"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Hellenic Federation of Enterprises (SEV)</w:t>
      </w:r>
    </w:p>
    <w:p w14:paraId="18EF7ACD" w14:textId="5C9F41B5" w:rsidR="2164842A" w:rsidRDefault="00E51455" w:rsidP="2164842A">
      <w:pPr>
        <w:numPr>
          <w:ilvl w:val="0"/>
          <w:numId w:val="21"/>
        </w:numPr>
        <w:spacing w:after="0" w:line="256" w:lineRule="auto"/>
        <w:contextualSpacing/>
        <w:rPr>
          <w:rFonts w:eastAsiaTheme="minorEastAsia"/>
          <w:noProof/>
          <w:lang w:eastAsia="en-US"/>
        </w:rPr>
      </w:pPr>
      <w:r w:rsidRPr="2164842A">
        <w:rPr>
          <w:rFonts w:eastAsiaTheme="minorEastAsia"/>
          <w:noProof/>
          <w:bdr w:val="none" w:sz="0" w:space="0" w:color="auto" w:frame="1"/>
          <w:lang w:eastAsia="en-US"/>
        </w:rPr>
        <w:t>Hellenic League for Human Rights</w:t>
      </w:r>
    </w:p>
    <w:p w14:paraId="3A99E470"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Hellenic Single Public Procurement Authority (HSPPA)</w:t>
      </w:r>
    </w:p>
    <w:p w14:paraId="3CDD6465"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HIAS Greece</w:t>
      </w:r>
    </w:p>
    <w:p w14:paraId="14614A0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Homo Digitalis</w:t>
      </w:r>
    </w:p>
    <w:p w14:paraId="73612E54" w14:textId="0E979976"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Ministry of Citizen Protection</w:t>
      </w:r>
      <w:r w:rsidR="00B11C3E">
        <w:rPr>
          <w:rFonts w:eastAsiaTheme="minorHAnsi"/>
          <w:noProof/>
          <w:szCs w:val="24"/>
          <w:bdr w:val="none" w:sz="0" w:space="0" w:color="auto" w:frame="1"/>
          <w:lang w:eastAsia="en-US"/>
        </w:rPr>
        <w:t>, Hellenic Police</w:t>
      </w:r>
    </w:p>
    <w:p w14:paraId="723B332A"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Journalists' Union of Athens Daily Newspaper (ESIEA)</w:t>
      </w:r>
    </w:p>
    <w:p w14:paraId="6426CCC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Ministry of Interior</w:t>
      </w:r>
    </w:p>
    <w:p w14:paraId="3F8A5471"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Ministry of Justice</w:t>
      </w:r>
    </w:p>
    <w:p w14:paraId="38D659B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Ministry of Migration and Asylum</w:t>
      </w:r>
    </w:p>
    <w:p w14:paraId="123C2263"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National Association of National Private Broadcasters</w:t>
      </w:r>
    </w:p>
    <w:p w14:paraId="27FFFB32"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National Audiovisual Regulator</w:t>
      </w:r>
    </w:p>
    <w:p w14:paraId="22546EBA"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National Commission for Human Rights (NCHR)</w:t>
      </w:r>
    </w:p>
    <w:p w14:paraId="1C28ACF0"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National Transparency Authority</w:t>
      </w:r>
    </w:p>
    <w:p w14:paraId="5F7F4515"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Office of the Prosecutors to the Supreme Court and Office of the Prosecutor for</w:t>
      </w:r>
    </w:p>
    <w:p w14:paraId="308A24ED" w14:textId="77777777" w:rsidR="00E51455" w:rsidRPr="000275CD" w:rsidRDefault="00E51455" w:rsidP="00E51455">
      <w:pPr>
        <w:numPr>
          <w:ilvl w:val="0"/>
          <w:numId w:val="21"/>
        </w:numPr>
        <w:spacing w:after="0" w:line="256" w:lineRule="auto"/>
        <w:contextualSpacing/>
        <w:rPr>
          <w:rFonts w:eastAsiaTheme="minorEastAsia"/>
          <w:noProof/>
          <w:bdr w:val="none" w:sz="0" w:space="0" w:color="auto" w:frame="1"/>
          <w:lang w:eastAsia="en-US"/>
        </w:rPr>
      </w:pPr>
      <w:r w:rsidRPr="3F04DA17">
        <w:rPr>
          <w:rFonts w:eastAsiaTheme="minorEastAsia"/>
          <w:noProof/>
          <w:bdr w:val="none" w:sz="0" w:space="0" w:color="auto" w:frame="1"/>
          <w:lang w:eastAsia="en-US"/>
        </w:rPr>
        <w:t>Financial Crimes</w:t>
      </w:r>
    </w:p>
    <w:p w14:paraId="03655CB6" w14:textId="1183AB12" w:rsidR="4FF24386" w:rsidRDefault="00E51455" w:rsidP="78797116">
      <w:pPr>
        <w:numPr>
          <w:ilvl w:val="0"/>
          <w:numId w:val="21"/>
        </w:numPr>
        <w:spacing w:after="0" w:line="256" w:lineRule="auto"/>
        <w:contextualSpacing/>
        <w:rPr>
          <w:rFonts w:eastAsiaTheme="minorEastAsia"/>
          <w:noProof/>
          <w:lang w:eastAsia="en-US"/>
        </w:rPr>
      </w:pPr>
      <w:r w:rsidRPr="311A6289">
        <w:rPr>
          <w:rFonts w:eastAsiaTheme="minorEastAsia"/>
          <w:noProof/>
          <w:bdr w:val="none" w:sz="0" w:space="0" w:color="auto" w:frame="1"/>
          <w:lang w:eastAsia="en-US"/>
        </w:rPr>
        <w:t>Panhellenic Federation of Journalists' Unions (POESY</w:t>
      </w:r>
      <w:r w:rsidRPr="3F04DA17">
        <w:rPr>
          <w:rFonts w:eastAsiaTheme="minorEastAsia"/>
          <w:noProof/>
          <w:bdr w:val="none" w:sz="0" w:space="0" w:color="auto" w:frame="1"/>
          <w:lang w:eastAsia="en-US"/>
        </w:rPr>
        <w:t>)</w:t>
      </w:r>
    </w:p>
    <w:p w14:paraId="1B02FF3F"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Refugee Support Aegean</w:t>
      </w:r>
    </w:p>
    <w:p w14:paraId="5D06D54C"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Reporters United</w:t>
      </w:r>
    </w:p>
    <w:p w14:paraId="6A31B466"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Secretariat General for Communication and Media</w:t>
      </w:r>
    </w:p>
    <w:p w14:paraId="0FE2AD8F"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Solomon</w:t>
      </w:r>
    </w:p>
    <w:p w14:paraId="06290E23"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Supreme Court</w:t>
      </w:r>
    </w:p>
    <w:p w14:paraId="700FF741"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Transparency International Greece</w:t>
      </w:r>
    </w:p>
    <w:p w14:paraId="2F8D6EB4" w14:textId="77777777" w:rsidR="00E51455" w:rsidRPr="000275CD" w:rsidRDefault="00E51455" w:rsidP="00E51455">
      <w:pPr>
        <w:numPr>
          <w:ilvl w:val="0"/>
          <w:numId w:val="21"/>
        </w:numPr>
        <w:spacing w:after="0" w:line="256" w:lineRule="auto"/>
        <w:contextualSpacing/>
        <w:rPr>
          <w:rFonts w:eastAsiaTheme="minorHAnsi"/>
          <w:noProof/>
          <w:szCs w:val="24"/>
          <w:bdr w:val="none" w:sz="0" w:space="0" w:color="auto" w:frame="1"/>
          <w:lang w:eastAsia="en-US"/>
        </w:rPr>
      </w:pPr>
      <w:r w:rsidRPr="000275CD">
        <w:rPr>
          <w:rFonts w:eastAsiaTheme="minorHAnsi"/>
          <w:noProof/>
          <w:szCs w:val="24"/>
          <w:bdr w:val="none" w:sz="0" w:space="0" w:color="auto" w:frame="1"/>
          <w:lang w:eastAsia="en-US"/>
        </w:rPr>
        <w:t>Vouliwatch</w:t>
      </w:r>
    </w:p>
    <w:p w14:paraId="5FDCAD0E" w14:textId="77777777" w:rsidR="00E51455" w:rsidRPr="000275CD" w:rsidRDefault="00E51455" w:rsidP="00E51455">
      <w:pPr>
        <w:spacing w:after="120" w:line="264" w:lineRule="auto"/>
        <w:rPr>
          <w:noProof/>
          <w:shd w:val="clear" w:color="auto" w:fill="FFFFFF"/>
          <w:lang w:eastAsia="en-GB"/>
        </w:rPr>
      </w:pPr>
    </w:p>
    <w:p w14:paraId="2FE7DEBC" w14:textId="77777777" w:rsidR="00E51455" w:rsidRPr="000275CD" w:rsidRDefault="00E51455" w:rsidP="00E51455">
      <w:pPr>
        <w:spacing w:after="120" w:line="264" w:lineRule="auto"/>
        <w:rPr>
          <w:noProof/>
          <w:lang w:eastAsia="en-GB"/>
        </w:rPr>
      </w:pPr>
      <w:r w:rsidRPr="000275CD">
        <w:rPr>
          <w:noProof/>
          <w:lang w:eastAsia="en-GB"/>
        </w:rPr>
        <w:t xml:space="preserve">* The Commission also met the following organisations in a number of horizontal meetings: </w:t>
      </w:r>
    </w:p>
    <w:p w14:paraId="6D58944E" w14:textId="77777777" w:rsidR="00E51455" w:rsidRPr="000275CD" w:rsidRDefault="00E51455" w:rsidP="00E51455">
      <w:pPr>
        <w:numPr>
          <w:ilvl w:val="0"/>
          <w:numId w:val="22"/>
        </w:numPr>
        <w:spacing w:after="0" w:line="264" w:lineRule="auto"/>
        <w:rPr>
          <w:noProof/>
          <w:lang w:eastAsia="en-GB"/>
        </w:rPr>
      </w:pPr>
      <w:r w:rsidRPr="000275CD">
        <w:rPr>
          <w:noProof/>
          <w:lang w:eastAsia="en-GB"/>
        </w:rPr>
        <w:t>Civil Liberties Union for Europe</w:t>
      </w:r>
    </w:p>
    <w:p w14:paraId="7A3E7582" w14:textId="77777777" w:rsidR="00E51455" w:rsidRPr="000275CD" w:rsidRDefault="00E51455" w:rsidP="00E51455">
      <w:pPr>
        <w:numPr>
          <w:ilvl w:val="0"/>
          <w:numId w:val="22"/>
        </w:numPr>
        <w:spacing w:after="0" w:line="264" w:lineRule="auto"/>
        <w:rPr>
          <w:noProof/>
          <w:lang w:eastAsia="en-GB"/>
        </w:rPr>
      </w:pPr>
      <w:r w:rsidRPr="000275CD">
        <w:rPr>
          <w:noProof/>
          <w:lang w:eastAsia="en-GB"/>
        </w:rPr>
        <w:t>Civil Society Europe</w:t>
      </w:r>
    </w:p>
    <w:p w14:paraId="492F0220" w14:textId="77777777" w:rsidR="00E51455" w:rsidRPr="000275CD" w:rsidRDefault="00E51455" w:rsidP="00E51455">
      <w:pPr>
        <w:numPr>
          <w:ilvl w:val="0"/>
          <w:numId w:val="22"/>
        </w:numPr>
        <w:spacing w:after="0" w:line="264" w:lineRule="auto"/>
        <w:rPr>
          <w:noProof/>
          <w:lang w:eastAsia="en-GB"/>
        </w:rPr>
      </w:pPr>
      <w:r w:rsidRPr="000275CD">
        <w:rPr>
          <w:noProof/>
          <w:lang w:eastAsia="en-GB"/>
        </w:rPr>
        <w:t>End FGM EU</w:t>
      </w:r>
    </w:p>
    <w:p w14:paraId="2B714FE1" w14:textId="77777777" w:rsidR="00E51455" w:rsidRPr="000275CD" w:rsidRDefault="00E51455" w:rsidP="00E51455">
      <w:pPr>
        <w:numPr>
          <w:ilvl w:val="0"/>
          <w:numId w:val="22"/>
        </w:numPr>
        <w:spacing w:after="0" w:line="264" w:lineRule="auto"/>
        <w:rPr>
          <w:noProof/>
          <w:lang w:eastAsia="en-GB"/>
        </w:rPr>
      </w:pPr>
      <w:r w:rsidRPr="000275CD">
        <w:rPr>
          <w:noProof/>
          <w:lang w:eastAsia="en-GB"/>
        </w:rPr>
        <w:t>European Civic Forum</w:t>
      </w:r>
    </w:p>
    <w:p w14:paraId="351244CE" w14:textId="77777777" w:rsidR="00E51455" w:rsidRPr="000275CD" w:rsidRDefault="00E51455" w:rsidP="00E51455">
      <w:pPr>
        <w:numPr>
          <w:ilvl w:val="0"/>
          <w:numId w:val="22"/>
        </w:numPr>
        <w:spacing w:after="0" w:line="264" w:lineRule="auto"/>
        <w:rPr>
          <w:noProof/>
          <w:lang w:eastAsia="en-GB"/>
        </w:rPr>
      </w:pPr>
      <w:r w:rsidRPr="000275CD">
        <w:rPr>
          <w:noProof/>
          <w:lang w:eastAsia="en-GB"/>
        </w:rPr>
        <w:t>European Partnership for Democracy</w:t>
      </w:r>
    </w:p>
    <w:p w14:paraId="18E6530D" w14:textId="77777777" w:rsidR="00E51455" w:rsidRPr="000275CD" w:rsidRDefault="00E51455" w:rsidP="00E51455">
      <w:pPr>
        <w:numPr>
          <w:ilvl w:val="0"/>
          <w:numId w:val="22"/>
        </w:numPr>
        <w:spacing w:after="0" w:line="264" w:lineRule="auto"/>
        <w:rPr>
          <w:noProof/>
          <w:lang w:eastAsia="en-GB"/>
        </w:rPr>
      </w:pPr>
      <w:r w:rsidRPr="000275CD">
        <w:rPr>
          <w:noProof/>
          <w:lang w:eastAsia="en-GB"/>
        </w:rPr>
        <w:t>Human Rights Watch</w:t>
      </w:r>
    </w:p>
    <w:p w14:paraId="570CE6BF" w14:textId="77777777" w:rsidR="00E51455" w:rsidRPr="000275CD" w:rsidRDefault="00E51455" w:rsidP="00E51455">
      <w:pPr>
        <w:numPr>
          <w:ilvl w:val="0"/>
          <w:numId w:val="22"/>
        </w:numPr>
        <w:spacing w:after="0" w:line="264" w:lineRule="auto"/>
        <w:rPr>
          <w:noProof/>
          <w:lang w:eastAsia="en-GB"/>
        </w:rPr>
      </w:pPr>
      <w:r w:rsidRPr="000275CD">
        <w:rPr>
          <w:noProof/>
          <w:lang w:eastAsia="en-GB"/>
        </w:rPr>
        <w:t>ILGA-Europe</w:t>
      </w:r>
    </w:p>
    <w:p w14:paraId="24FD231A" w14:textId="77777777" w:rsidR="00E51455" w:rsidRPr="000275CD" w:rsidRDefault="00E51455" w:rsidP="00E51455">
      <w:pPr>
        <w:numPr>
          <w:ilvl w:val="0"/>
          <w:numId w:val="22"/>
        </w:numPr>
        <w:spacing w:after="0" w:line="264" w:lineRule="auto"/>
        <w:rPr>
          <w:noProof/>
          <w:lang w:eastAsia="en-GB"/>
        </w:rPr>
      </w:pPr>
      <w:r w:rsidRPr="000275CD">
        <w:rPr>
          <w:noProof/>
          <w:lang w:eastAsia="en-GB"/>
        </w:rPr>
        <w:t>International Federation for Human Rights</w:t>
      </w:r>
    </w:p>
    <w:p w14:paraId="1E385DA3" w14:textId="77777777" w:rsidR="00E51455" w:rsidRPr="000275CD" w:rsidRDefault="00E51455" w:rsidP="00E51455">
      <w:pPr>
        <w:numPr>
          <w:ilvl w:val="0"/>
          <w:numId w:val="22"/>
        </w:numPr>
        <w:spacing w:after="0" w:line="264" w:lineRule="auto"/>
        <w:rPr>
          <w:noProof/>
          <w:lang w:eastAsia="en-GB"/>
        </w:rPr>
      </w:pPr>
      <w:r w:rsidRPr="000275CD">
        <w:rPr>
          <w:noProof/>
          <w:lang w:eastAsia="en-GB"/>
        </w:rPr>
        <w:t>Philea - Philanthropy Europe Association</w:t>
      </w:r>
    </w:p>
    <w:p w14:paraId="736CEABD" w14:textId="77777777" w:rsidR="00E51455" w:rsidRPr="000275CD" w:rsidRDefault="00E51455" w:rsidP="00E51455">
      <w:pPr>
        <w:numPr>
          <w:ilvl w:val="0"/>
          <w:numId w:val="22"/>
        </w:numPr>
        <w:spacing w:after="0" w:line="264" w:lineRule="auto"/>
        <w:rPr>
          <w:noProof/>
          <w:lang w:eastAsia="en-GB"/>
        </w:rPr>
      </w:pPr>
      <w:r w:rsidRPr="000275CD">
        <w:rPr>
          <w:noProof/>
          <w:lang w:eastAsia="en-GB"/>
        </w:rPr>
        <w:t xml:space="preserve">Transparency International EU </w:t>
      </w:r>
    </w:p>
    <w:p w14:paraId="34763B2A" w14:textId="77777777" w:rsidR="00E51455" w:rsidRPr="000275CD" w:rsidRDefault="00E51455" w:rsidP="00E51455">
      <w:pPr>
        <w:spacing w:after="0" w:line="264" w:lineRule="auto"/>
        <w:rPr>
          <w:noProof/>
          <w:lang w:eastAsia="en-GB"/>
        </w:rPr>
      </w:pPr>
    </w:p>
    <w:p w14:paraId="36C88051" w14:textId="77777777" w:rsidR="00E51455" w:rsidRPr="000275CD" w:rsidRDefault="00E51455" w:rsidP="00E51455">
      <w:pPr>
        <w:spacing w:after="120"/>
        <w:ind w:left="284" w:hanging="284"/>
        <w:rPr>
          <w:noProof/>
          <w:szCs w:val="22"/>
          <w:lang w:eastAsia="en-GB"/>
        </w:rPr>
      </w:pPr>
    </w:p>
    <w:p w14:paraId="44EF76E5" w14:textId="77777777" w:rsidR="00E51455" w:rsidRPr="000275CD" w:rsidRDefault="00E51455" w:rsidP="00E51455">
      <w:pPr>
        <w:spacing w:after="0"/>
        <w:rPr>
          <w:noProof/>
          <w:lang w:eastAsia="en-GB"/>
        </w:rPr>
      </w:pPr>
    </w:p>
    <w:p w14:paraId="31B1165E" w14:textId="77777777" w:rsidR="00E51455" w:rsidRPr="000275CD" w:rsidRDefault="00E51455" w:rsidP="00E51455">
      <w:pPr>
        <w:rPr>
          <w:rFonts w:eastAsiaTheme="minorHAnsi" w:cstheme="minorBidi"/>
          <w:noProof/>
          <w:szCs w:val="22"/>
          <w:lang w:eastAsia="en-US"/>
        </w:rPr>
      </w:pPr>
    </w:p>
    <w:p w14:paraId="71B3F28E" w14:textId="77777777" w:rsidR="00E51455" w:rsidRPr="000275CD" w:rsidRDefault="00E51455" w:rsidP="00E51455">
      <w:pPr>
        <w:rPr>
          <w:rFonts w:eastAsiaTheme="minorHAnsi" w:cstheme="minorBidi"/>
          <w:noProof/>
          <w:szCs w:val="22"/>
          <w:lang w:eastAsia="en-US"/>
        </w:rPr>
      </w:pPr>
    </w:p>
    <w:p w14:paraId="7C71BB12" w14:textId="77777777" w:rsidR="00CD604B" w:rsidRDefault="00CD604B" w:rsidP="00B51782">
      <w:pPr>
        <w:rPr>
          <w:noProof/>
        </w:rPr>
      </w:pPr>
    </w:p>
    <w:sectPr w:rsidR="00CD604B" w:rsidSect="00E51455">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ED113" w14:textId="77777777" w:rsidR="00441C0D" w:rsidRPr="000275CD" w:rsidRDefault="00441C0D">
      <w:pPr>
        <w:spacing w:after="0"/>
      </w:pPr>
      <w:r w:rsidRPr="000275CD">
        <w:separator/>
      </w:r>
    </w:p>
  </w:endnote>
  <w:endnote w:type="continuationSeparator" w:id="0">
    <w:p w14:paraId="0D368C56" w14:textId="77777777" w:rsidR="00441C0D" w:rsidRPr="000275CD" w:rsidRDefault="00441C0D">
      <w:pPr>
        <w:spacing w:after="0"/>
      </w:pPr>
      <w:r w:rsidRPr="000275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6A8F7" w14:textId="6023DD39" w:rsidR="00E71D16" w:rsidRPr="00E71D16" w:rsidRDefault="00E71D16" w:rsidP="00E71D16">
    <w:pPr>
      <w:pStyle w:val="FooterCoverPage"/>
      <w:rPr>
        <w:rFonts w:ascii="Arial" w:hAnsi="Arial" w:cs="Arial"/>
        <w:b/>
        <w:sz w:val="48"/>
      </w:rPr>
    </w:pPr>
    <w:r w:rsidRPr="00E71D16">
      <w:rPr>
        <w:rFonts w:ascii="Arial" w:hAnsi="Arial" w:cs="Arial"/>
        <w:b/>
        <w:sz w:val="48"/>
      </w:rPr>
      <w:t>EN</w:t>
    </w:r>
    <w:r w:rsidRPr="00E71D16">
      <w:rPr>
        <w:rFonts w:ascii="Arial" w:hAnsi="Arial" w:cs="Arial"/>
        <w:b/>
        <w:sz w:val="48"/>
      </w:rPr>
      <w:tab/>
    </w:r>
    <w:r w:rsidRPr="00E71D16">
      <w:rPr>
        <w:rFonts w:ascii="Arial" w:hAnsi="Arial" w:cs="Arial"/>
        <w:b/>
        <w:sz w:val="48"/>
      </w:rPr>
      <w:tab/>
    </w:r>
    <w:r w:rsidRPr="00E71D16">
      <w:tab/>
    </w:r>
    <w:r w:rsidRPr="00E71D1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12916" w14:textId="45BC83B8" w:rsidR="00E71D16" w:rsidRPr="00E71D16" w:rsidRDefault="00E71D16" w:rsidP="00E71D16">
    <w:pPr>
      <w:pStyle w:val="FooterCoverPage"/>
      <w:rPr>
        <w:rFonts w:ascii="Arial" w:hAnsi="Arial" w:cs="Arial"/>
        <w:b/>
        <w:sz w:val="48"/>
      </w:rPr>
    </w:pPr>
    <w:r w:rsidRPr="00E71D16">
      <w:rPr>
        <w:rFonts w:ascii="Arial" w:hAnsi="Arial" w:cs="Arial"/>
        <w:b/>
        <w:sz w:val="48"/>
      </w:rPr>
      <w:t>EN</w:t>
    </w:r>
    <w:r w:rsidRPr="00E71D16">
      <w:rPr>
        <w:rFonts w:ascii="Arial" w:hAnsi="Arial" w:cs="Arial"/>
        <w:b/>
        <w:sz w:val="48"/>
      </w:rPr>
      <w:tab/>
    </w:r>
    <w:r w:rsidRPr="00E71D16">
      <w:rPr>
        <w:rFonts w:ascii="Arial" w:hAnsi="Arial" w:cs="Arial"/>
        <w:b/>
        <w:sz w:val="48"/>
      </w:rPr>
      <w:tab/>
    </w:r>
    <w:r w:rsidRPr="00E71D16">
      <w:tab/>
    </w:r>
    <w:r w:rsidRPr="00E71D1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E2D5C" w14:textId="77777777" w:rsidR="00E71D16" w:rsidRPr="00E71D16" w:rsidRDefault="00E71D16" w:rsidP="00E71D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F938D" w14:textId="77777777" w:rsidR="00E51455" w:rsidRPr="000275CD" w:rsidRDefault="00E514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0DE3AD2A" w14:textId="73E79807" w:rsidR="00E51455" w:rsidRPr="000275CD" w:rsidRDefault="00E51455">
        <w:pPr>
          <w:pStyle w:val="Footer"/>
          <w:jc w:val="center"/>
          <w:rPr>
            <w:sz w:val="24"/>
            <w:szCs w:val="24"/>
          </w:rPr>
        </w:pPr>
        <w:r w:rsidRPr="000275CD">
          <w:rPr>
            <w:sz w:val="24"/>
            <w:szCs w:val="24"/>
          </w:rPr>
          <w:fldChar w:fldCharType="begin"/>
        </w:r>
        <w:r w:rsidRPr="000275CD">
          <w:rPr>
            <w:sz w:val="24"/>
            <w:szCs w:val="24"/>
          </w:rPr>
          <w:instrText xml:space="preserve"> PAGE   \* MERGEFORMAT </w:instrText>
        </w:r>
        <w:r w:rsidRPr="000275CD">
          <w:rPr>
            <w:sz w:val="24"/>
            <w:szCs w:val="24"/>
          </w:rPr>
          <w:fldChar w:fldCharType="separate"/>
        </w:r>
        <w:r w:rsidR="00E71D16">
          <w:rPr>
            <w:noProof/>
            <w:sz w:val="24"/>
            <w:szCs w:val="24"/>
          </w:rPr>
          <w:t>1</w:t>
        </w:r>
        <w:r w:rsidRPr="000275CD">
          <w:rPr>
            <w:sz w:val="24"/>
            <w:szCs w:val="24"/>
          </w:rPr>
          <w:fldChar w:fldCharType="end"/>
        </w:r>
      </w:p>
    </w:sdtContent>
  </w:sdt>
  <w:p w14:paraId="7276D6D5" w14:textId="77777777" w:rsidR="00E51455" w:rsidRPr="000275CD" w:rsidRDefault="00E51455" w:rsidP="002F2332">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53B95" w14:textId="77777777" w:rsidR="00E51455" w:rsidRPr="000275CD" w:rsidRDefault="00E51455">
    <w:pPr>
      <w:pStyle w:val="Footer"/>
      <w:jc w:val="center"/>
    </w:pPr>
  </w:p>
  <w:p w14:paraId="15AB867E" w14:textId="77777777" w:rsidR="00E51455" w:rsidRPr="000275CD" w:rsidRDefault="00E51455">
    <w:pPr>
      <w:pStyle w:val="Footer"/>
      <w:jc w:val="center"/>
    </w:pPr>
  </w:p>
  <w:p w14:paraId="70534E90" w14:textId="77777777" w:rsidR="00E51455" w:rsidRPr="000275CD" w:rsidRDefault="00E51455">
    <w:pPr>
      <w:pStyle w:val="Footer"/>
      <w:jc w:val="center"/>
    </w:pPr>
  </w:p>
  <w:p w14:paraId="46F9CC65" w14:textId="77777777" w:rsidR="00E51455" w:rsidRPr="000275CD" w:rsidRDefault="00E51455">
    <w:pPr>
      <w:pStyle w:val="Footer"/>
      <w:jc w:val="center"/>
    </w:pPr>
  </w:p>
  <w:p w14:paraId="78230FB0" w14:textId="77777777" w:rsidR="00E51455" w:rsidRPr="000275CD" w:rsidRDefault="00E51455">
    <w:pPr>
      <w:pStyle w:val="Footer"/>
      <w:jc w:val="center"/>
    </w:pPr>
  </w:p>
  <w:sdt>
    <w:sdtPr>
      <w:id w:val="-2036414098"/>
      <w:docPartObj>
        <w:docPartGallery w:val="Page Numbers (Bottom of Page)"/>
        <w:docPartUnique/>
      </w:docPartObj>
    </w:sdtPr>
    <w:sdtEndPr/>
    <w:sdtContent>
      <w:p w14:paraId="741DBA56" w14:textId="77777777" w:rsidR="00E51455" w:rsidRPr="000275CD" w:rsidRDefault="00E51455">
        <w:pPr>
          <w:pStyle w:val="Footer"/>
          <w:jc w:val="center"/>
        </w:pPr>
      </w:p>
      <w:p w14:paraId="3382688F" w14:textId="77777777" w:rsidR="00E51455" w:rsidRPr="000275CD" w:rsidRDefault="00E51455">
        <w:pPr>
          <w:pStyle w:val="Footer"/>
          <w:jc w:val="center"/>
        </w:pPr>
      </w:p>
      <w:p w14:paraId="2CF1FE68" w14:textId="77777777" w:rsidR="00E51455" w:rsidRPr="000275CD" w:rsidRDefault="00E51455" w:rsidP="002F2332">
        <w:pPr>
          <w:pStyle w:val="Footer"/>
          <w:jc w:val="center"/>
        </w:pPr>
        <w:r w:rsidRPr="000275CD">
          <w:fldChar w:fldCharType="begin"/>
        </w:r>
        <w:r w:rsidRPr="000275CD">
          <w:instrText xml:space="preserve"> PAGE   \* MERGEFORMAT </w:instrText>
        </w:r>
        <w:r w:rsidRPr="000275CD">
          <w:fldChar w:fldCharType="separate"/>
        </w:r>
        <w:r w:rsidRPr="000275CD">
          <w:t>3</w:t>
        </w:r>
        <w:r w:rsidRPr="000275CD">
          <w:fldChar w:fldCharType="end"/>
        </w:r>
      </w:p>
    </w:sdtContent>
  </w:sdt>
  <w:p w14:paraId="5AB9A80F" w14:textId="77777777" w:rsidR="00E51455" w:rsidRPr="000275CD" w:rsidRDefault="00E51455"/>
  <w:p w14:paraId="1F711DD8" w14:textId="77777777" w:rsidR="00E51455" w:rsidRPr="000275CD" w:rsidRDefault="00E5145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F257B" w14:textId="77777777" w:rsidR="00441C0D" w:rsidRPr="000275CD" w:rsidRDefault="00441C0D">
      <w:pPr>
        <w:spacing w:after="0"/>
      </w:pPr>
      <w:r w:rsidRPr="000275CD">
        <w:separator/>
      </w:r>
    </w:p>
  </w:footnote>
  <w:footnote w:type="continuationSeparator" w:id="0">
    <w:p w14:paraId="527EF61B" w14:textId="77777777" w:rsidR="00441C0D" w:rsidRPr="000275CD" w:rsidRDefault="00441C0D">
      <w:pPr>
        <w:spacing w:after="0"/>
      </w:pPr>
      <w:r w:rsidRPr="000275CD">
        <w:continuationSeparator/>
      </w:r>
    </w:p>
  </w:footnote>
  <w:footnote w:id="1">
    <w:p w14:paraId="1F6D2CB2" w14:textId="6CBBD70A" w:rsidR="00E51455" w:rsidRPr="000275CD" w:rsidRDefault="00E51455" w:rsidP="003970E8">
      <w:pPr>
        <w:pStyle w:val="FootnoteText"/>
      </w:pPr>
      <w:r w:rsidRPr="000275CD">
        <w:rPr>
          <w:rStyle w:val="FootnoteReference"/>
        </w:rPr>
        <w:footnoteRef/>
      </w:r>
      <w:r w:rsidRPr="000275CD">
        <w:rPr>
          <w:rStyle w:val="FootnoteReference"/>
        </w:rPr>
        <w:tab/>
      </w:r>
      <w:r w:rsidRPr="000275CD">
        <w:t xml:space="preserve">An overview of the institutional framework for all four pillars can be found </w:t>
      </w:r>
      <w:r w:rsidR="0064393D" w:rsidRPr="00934164">
        <w:rPr>
          <w:sz w:val="22"/>
          <w:szCs w:val="22"/>
        </w:rPr>
        <w:t xml:space="preserve"> </w:t>
      </w:r>
      <w:hyperlink r:id="rId1" w:history="1">
        <w:r w:rsidR="0064393D" w:rsidRPr="0064393D">
          <w:rPr>
            <w:rStyle w:val="Hyperlink"/>
            <w:lang w:val="en-US"/>
          </w:rPr>
          <w:t>here</w:t>
        </w:r>
      </w:hyperlink>
      <w:r w:rsidRPr="000275CD">
        <w:t xml:space="preserve">. </w:t>
      </w:r>
    </w:p>
  </w:footnote>
  <w:footnote w:id="2">
    <w:p w14:paraId="3A586CED" w14:textId="55E8FE0E" w:rsidR="00E51455" w:rsidRPr="000275CD" w:rsidRDefault="00E51455" w:rsidP="003970E8">
      <w:pPr>
        <w:pStyle w:val="FootnoteText"/>
      </w:pPr>
      <w:r w:rsidRPr="000275CD">
        <w:rPr>
          <w:rStyle w:val="FootnoteReference"/>
        </w:rPr>
        <w:footnoteRef/>
      </w:r>
      <w:r w:rsidRPr="000275CD">
        <w:tab/>
        <w:t>Figures 48 and 50, 2026 EU Justice Scoreboard and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6D5785C7" w14:textId="666740A4" w:rsidR="00E51455" w:rsidRPr="000275CD" w:rsidRDefault="00E51455" w:rsidP="003970E8">
      <w:pPr>
        <w:pStyle w:val="FootnoteText"/>
      </w:pPr>
      <w:r w:rsidRPr="000275CD">
        <w:rPr>
          <w:rStyle w:val="FootnoteReference"/>
        </w:rPr>
        <w:footnoteRef/>
      </w:r>
      <w:r w:rsidRPr="000275CD">
        <w:tab/>
        <w:t xml:space="preserve">2024 Rule of Law Report, Greece, pp. 3-4. </w:t>
      </w:r>
    </w:p>
  </w:footnote>
  <w:footnote w:id="4">
    <w:p w14:paraId="51B420A6" w14:textId="2FAB8467" w:rsidR="00E51455" w:rsidRPr="000275CD" w:rsidRDefault="00E51455" w:rsidP="003970E8">
      <w:pPr>
        <w:pStyle w:val="FootnoteText"/>
      </w:pPr>
      <w:r w:rsidRPr="000275CD">
        <w:rPr>
          <w:rStyle w:val="FootnoteReference"/>
        </w:rPr>
        <w:footnoteRef/>
      </w:r>
      <w:r w:rsidRPr="000275CD">
        <w:tab/>
        <w:t>Country visit Greece, Council of State, Court of Audit and Supreme Court</w:t>
      </w:r>
      <w:r w:rsidR="00FF7029">
        <w:t>;</w:t>
      </w:r>
      <w:r w:rsidRPr="000275CD">
        <w:t xml:space="preserve"> Association of Judges of the Court of Audit, written input, p. 1. Some nominations also drew criticism of a number of stakeholders: Association of judges and prosecutors (2025a); Association of administrative judges</w:t>
      </w:r>
      <w:r w:rsidR="00716EE9">
        <w:t>;</w:t>
      </w:r>
      <w:r w:rsidR="00D663AE">
        <w:t xml:space="preserve"> </w:t>
      </w:r>
      <w:r w:rsidRPr="000275CD">
        <w:t>Centre for European Constitutional Law</w:t>
      </w:r>
      <w:r w:rsidR="00716EE9">
        <w:t xml:space="preserve"> (2026)</w:t>
      </w:r>
      <w:r w:rsidRPr="000275CD">
        <w:t xml:space="preserve"> and Civil Society (</w:t>
      </w:r>
      <w:r w:rsidRPr="00D663AE">
        <w:t>2026</w:t>
      </w:r>
      <w:r w:rsidR="00716EE9">
        <w:t>a</w:t>
      </w:r>
      <w:r w:rsidRPr="000275CD">
        <w:t>), written inputs, pp. 3,8 and 13-14.</w:t>
      </w:r>
    </w:p>
  </w:footnote>
  <w:footnote w:id="5">
    <w:p w14:paraId="47857D7F" w14:textId="478C8DB7" w:rsidR="005D194A" w:rsidRDefault="005D194A">
      <w:pPr>
        <w:pStyle w:val="FootnoteText"/>
      </w:pPr>
      <w:r>
        <w:rPr>
          <w:rStyle w:val="FootnoteReference"/>
        </w:rPr>
        <w:footnoteRef/>
      </w:r>
      <w:r w:rsidR="00456F57">
        <w:tab/>
        <w:t xml:space="preserve">Notably, for the appointments of the </w:t>
      </w:r>
      <w:r w:rsidR="001E64DC">
        <w:t>P</w:t>
      </w:r>
      <w:r w:rsidR="00456F57" w:rsidRPr="00456F57">
        <w:rPr>
          <w:lang w:val="en-GB"/>
        </w:rPr>
        <w:t>resident</w:t>
      </w:r>
      <w:r w:rsidR="001E64DC">
        <w:rPr>
          <w:lang w:val="en-GB"/>
        </w:rPr>
        <w:t>, vice-presidents</w:t>
      </w:r>
      <w:r w:rsidR="00456F57" w:rsidRPr="00456F57">
        <w:rPr>
          <w:lang w:val="en-GB"/>
        </w:rPr>
        <w:t xml:space="preserve"> and </w:t>
      </w:r>
      <w:r w:rsidR="007962DF">
        <w:rPr>
          <w:lang w:val="en-GB"/>
        </w:rPr>
        <w:t xml:space="preserve">the </w:t>
      </w:r>
      <w:r w:rsidR="00456F57" w:rsidRPr="00456F57">
        <w:rPr>
          <w:lang w:val="en-GB"/>
        </w:rPr>
        <w:t xml:space="preserve">Prosecutor </w:t>
      </w:r>
      <w:r w:rsidR="007962DF">
        <w:rPr>
          <w:lang w:val="en-GB"/>
        </w:rPr>
        <w:t xml:space="preserve">General </w:t>
      </w:r>
      <w:r w:rsidR="00456F57" w:rsidRPr="00456F57">
        <w:rPr>
          <w:lang w:val="en-GB"/>
        </w:rPr>
        <w:t>of the Supreme Court</w:t>
      </w:r>
      <w:r w:rsidR="001E64DC">
        <w:rPr>
          <w:lang w:val="en-GB"/>
        </w:rPr>
        <w:t xml:space="preserve">; </w:t>
      </w:r>
      <w:r w:rsidR="008A708C">
        <w:rPr>
          <w:lang w:val="en-GB"/>
        </w:rPr>
        <w:t>vice-presidents of</w:t>
      </w:r>
      <w:r w:rsidR="00456F57" w:rsidRPr="00456F57">
        <w:rPr>
          <w:lang w:val="en-GB"/>
        </w:rPr>
        <w:t xml:space="preserve"> the Council of State, as well as the General Commissioner of the Court of Audit and the General Commissioner of the ordinary administrative courts.</w:t>
      </w:r>
      <w:r w:rsidR="008A708C">
        <w:rPr>
          <w:lang w:val="en-GB"/>
        </w:rPr>
        <w:t xml:space="preserve"> Greek Government (2026c)</w:t>
      </w:r>
      <w:r w:rsidR="00127250">
        <w:rPr>
          <w:lang w:val="en-GB"/>
        </w:rPr>
        <w:t xml:space="preserve">. </w:t>
      </w:r>
      <w:r>
        <w:tab/>
      </w:r>
    </w:p>
  </w:footnote>
  <w:footnote w:id="6">
    <w:p w14:paraId="065555CD" w14:textId="6996B0B0" w:rsidR="00E51455" w:rsidRPr="000275CD" w:rsidRDefault="00E51455" w:rsidP="003970E8">
      <w:pPr>
        <w:pStyle w:val="FootnoteText"/>
      </w:pPr>
      <w:r w:rsidRPr="000275CD">
        <w:rPr>
          <w:rStyle w:val="FootnoteReference"/>
        </w:rPr>
        <w:footnoteRef/>
      </w:r>
      <w:r w:rsidRPr="000275CD">
        <w:tab/>
        <w:t>In February 2026, the procedure for the constitutional revision was launched. Greek Government (2026</w:t>
      </w:r>
      <w:r w:rsidR="000B4BCA">
        <w:t>b</w:t>
      </w:r>
      <w:r w:rsidRPr="000275CD">
        <w:t xml:space="preserve">), p. 6; Country visit Greece, Court of Audit, </w:t>
      </w:r>
      <w:r w:rsidR="003B3964">
        <w:t xml:space="preserve">Judicial </w:t>
      </w:r>
      <w:r w:rsidR="00C45FD5" w:rsidRPr="003B3964">
        <w:t>associations</w:t>
      </w:r>
      <w:r w:rsidRPr="000275CD">
        <w:t xml:space="preserve">, </w:t>
      </w:r>
      <w:r w:rsidR="00636F3F">
        <w:t>Greek</w:t>
      </w:r>
      <w:r w:rsidR="00636F3F" w:rsidRPr="00636F3F">
        <w:t xml:space="preserve"> </w:t>
      </w:r>
      <w:r w:rsidRPr="00636F3F">
        <w:t>Bar Association</w:t>
      </w:r>
      <w:r w:rsidR="00636F3F">
        <w:t>s</w:t>
      </w:r>
      <w:r w:rsidRPr="000275CD">
        <w:t>.</w:t>
      </w:r>
    </w:p>
  </w:footnote>
  <w:footnote w:id="7">
    <w:p w14:paraId="12C9569E" w14:textId="59C0877B" w:rsidR="00E51455" w:rsidRPr="000275CD" w:rsidRDefault="00E51455" w:rsidP="003970E8">
      <w:pPr>
        <w:pStyle w:val="FootnoteText"/>
      </w:pPr>
      <w:r w:rsidRPr="000275CD">
        <w:rPr>
          <w:rStyle w:val="FootnoteReference"/>
        </w:rPr>
        <w:footnoteRef/>
      </w:r>
      <w:r w:rsidRPr="000275CD">
        <w:tab/>
        <w:t>Under the Constitution, the tenure of presidents of the highest courts is limited to four years. Country visit Greece, Ministry of Justice and Court of Audit; Association of Judges of the Court of Audit and Association of administrative judges (2026), written inputs, pp. 2 and 2-3 respectively.</w:t>
      </w:r>
      <w:r w:rsidR="00647334">
        <w:t xml:space="preserve"> </w:t>
      </w:r>
    </w:p>
  </w:footnote>
  <w:footnote w:id="8">
    <w:p w14:paraId="1D7CC5A9" w14:textId="78256230" w:rsidR="00FF4964" w:rsidRDefault="00FF4964">
      <w:pPr>
        <w:pStyle w:val="FootnoteText"/>
      </w:pPr>
      <w:r>
        <w:rPr>
          <w:rStyle w:val="FootnoteReference"/>
        </w:rPr>
        <w:footnoteRef/>
      </w:r>
      <w:r>
        <w:tab/>
      </w:r>
      <w:r w:rsidR="00BD7402">
        <w:t>Council of State (2026)</w:t>
      </w:r>
      <w:r w:rsidR="00944B1A">
        <w:t>.</w:t>
      </w:r>
    </w:p>
  </w:footnote>
  <w:footnote w:id="9">
    <w:p w14:paraId="510CA744" w14:textId="4024559D" w:rsidR="00E51455" w:rsidRPr="000275CD" w:rsidRDefault="00E51455" w:rsidP="003970E8">
      <w:pPr>
        <w:pStyle w:val="FootnoteText"/>
      </w:pPr>
      <w:r w:rsidRPr="000275CD">
        <w:rPr>
          <w:rStyle w:val="FootnoteReference"/>
        </w:rPr>
        <w:footnoteRef/>
      </w:r>
      <w:r w:rsidRPr="000275CD">
        <w:tab/>
        <w:t>Greek Government (2026</w:t>
      </w:r>
      <w:r w:rsidR="000B4BCA">
        <w:t>b</w:t>
      </w:r>
      <w:r w:rsidRPr="000275CD">
        <w:t>), p. 6.</w:t>
      </w:r>
    </w:p>
  </w:footnote>
  <w:footnote w:id="10">
    <w:p w14:paraId="6D79BA8F" w14:textId="318254B2" w:rsidR="00E51455" w:rsidRPr="000275CD" w:rsidRDefault="00E51455" w:rsidP="003970E8">
      <w:pPr>
        <w:pStyle w:val="FootnoteText"/>
      </w:pPr>
      <w:r w:rsidRPr="000275CD">
        <w:rPr>
          <w:rStyle w:val="FootnoteReference"/>
        </w:rPr>
        <w:footnoteRef/>
      </w:r>
      <w:r w:rsidRPr="000275CD">
        <w:tab/>
        <w:t>Country visit, Greece</w:t>
      </w:r>
      <w:r w:rsidRPr="00C45FD5">
        <w:t xml:space="preserve">, </w:t>
      </w:r>
      <w:r w:rsidR="003B3964">
        <w:t xml:space="preserve">Judicial </w:t>
      </w:r>
      <w:r w:rsidR="003B3964" w:rsidRPr="003B3964">
        <w:t>associations</w:t>
      </w:r>
      <w:r w:rsidRPr="000275CD">
        <w:t>, Council of State</w:t>
      </w:r>
      <w:r w:rsidR="002A6E27">
        <w:t xml:space="preserve"> and</w:t>
      </w:r>
      <w:r w:rsidRPr="000275CD">
        <w:t xml:space="preserve"> Court of Audit. </w:t>
      </w:r>
    </w:p>
  </w:footnote>
  <w:footnote w:id="11">
    <w:p w14:paraId="71F6FE80" w14:textId="77777777" w:rsidR="00E51455" w:rsidRPr="000275CD" w:rsidRDefault="00E51455" w:rsidP="003970E8">
      <w:pPr>
        <w:pStyle w:val="FootnoteText"/>
      </w:pPr>
      <w:r w:rsidRPr="000275CD">
        <w:rPr>
          <w:rStyle w:val="FootnoteReference"/>
        </w:rPr>
        <w:footnoteRef/>
      </w:r>
      <w:r w:rsidRPr="000275CD">
        <w:t xml:space="preserve"> </w:t>
      </w:r>
      <w:r w:rsidRPr="000275CD">
        <w:tab/>
        <w:t>CCBE (2026), written input, p. 110.</w:t>
      </w:r>
    </w:p>
  </w:footnote>
  <w:footnote w:id="12">
    <w:p w14:paraId="2B8E6CC3" w14:textId="7C642225" w:rsidR="00E51455" w:rsidRPr="000275CD" w:rsidRDefault="00E51455" w:rsidP="003970E8">
      <w:pPr>
        <w:pStyle w:val="FootnoteText"/>
      </w:pPr>
      <w:r w:rsidRPr="000275CD">
        <w:rPr>
          <w:rStyle w:val="FootnoteReference"/>
        </w:rPr>
        <w:footnoteRef/>
      </w:r>
      <w:r w:rsidRPr="000275CD">
        <w:t xml:space="preserve"> </w:t>
      </w:r>
      <w:r w:rsidRPr="000275CD">
        <w:tab/>
        <w:t>The working group, established by the Ministry of Justice, is composed of judges, lawyers, notaries and judicial officers.</w:t>
      </w:r>
      <w:r w:rsidRPr="000275CD">
        <w:rPr>
          <w:i/>
          <w:iCs/>
        </w:rPr>
        <w:t xml:space="preserve"> </w:t>
      </w:r>
      <w:r w:rsidRPr="000275CD">
        <w:t>Greek Government (2026</w:t>
      </w:r>
      <w:r w:rsidR="00FF7029">
        <w:t>a</w:t>
      </w:r>
      <w:r w:rsidRPr="000275CD">
        <w:t>), written input, p. 21. 2024 Rule of Law Report, Greece, p. 8.</w:t>
      </w:r>
    </w:p>
  </w:footnote>
  <w:footnote w:id="13">
    <w:p w14:paraId="11EF3CD9" w14:textId="77777777" w:rsidR="00E51455" w:rsidRPr="000275CD" w:rsidRDefault="00E51455" w:rsidP="003970E8">
      <w:pPr>
        <w:pStyle w:val="FootnoteText"/>
      </w:pPr>
      <w:r w:rsidRPr="000275CD">
        <w:rPr>
          <w:rStyle w:val="FootnoteReference"/>
        </w:rPr>
        <w:footnoteRef/>
      </w:r>
      <w:r w:rsidRPr="000275CD">
        <w:t xml:space="preserve"> </w:t>
      </w:r>
      <w:r w:rsidRPr="000275CD">
        <w:tab/>
        <w:t>CCBE (2026), written input, p. 125; Plenary of Bar Associations (2026b).</w:t>
      </w:r>
    </w:p>
  </w:footnote>
  <w:footnote w:id="14">
    <w:p w14:paraId="21FE19AA"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Association of judges and prosecutors (2025b) and (2025c); </w:t>
      </w:r>
      <w:r w:rsidRPr="003B3964">
        <w:t>EAJ (2026).</w:t>
      </w:r>
    </w:p>
  </w:footnote>
  <w:footnote w:id="15">
    <w:p w14:paraId="2C2B5784"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CCBE (2026), written input, pp. 15 and 111. </w:t>
      </w:r>
    </w:p>
  </w:footnote>
  <w:footnote w:id="16">
    <w:p w14:paraId="15C924BE" w14:textId="300539CE" w:rsidR="00E51455" w:rsidRPr="000275CD" w:rsidRDefault="00E51455" w:rsidP="003970E8">
      <w:pPr>
        <w:pStyle w:val="FootnoteText"/>
      </w:pPr>
      <w:r w:rsidRPr="000275CD">
        <w:rPr>
          <w:rStyle w:val="FootnoteReference"/>
        </w:rPr>
        <w:footnoteRef/>
      </w:r>
      <w:r w:rsidRPr="000275CD">
        <w:t xml:space="preserve">  </w:t>
      </w:r>
      <w:r w:rsidRPr="000275CD">
        <w:tab/>
        <w:t>Figures 40 and 41, 2026 EU Justice Scoreboard</w:t>
      </w:r>
      <w:r w:rsidRPr="000A60FA">
        <w:t xml:space="preserve">; </w:t>
      </w:r>
      <w:r w:rsidR="00984D66">
        <w:t xml:space="preserve">2026 </w:t>
      </w:r>
      <w:r w:rsidRPr="000A60FA">
        <w:t>European Semester, Greece</w:t>
      </w:r>
      <w:r w:rsidRPr="000275CD">
        <w:t>, pp. 4 and 71.</w:t>
      </w:r>
    </w:p>
  </w:footnote>
  <w:footnote w:id="17">
    <w:p w14:paraId="609352EE" w14:textId="4FCD53A9"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bCs/>
          <w:lang w:eastAsia="fr-FR"/>
        </w:rPr>
        <w:t>Greek Government (2026</w:t>
      </w:r>
      <w:r w:rsidR="00956B2E">
        <w:rPr>
          <w:bCs/>
          <w:lang w:eastAsia="fr-FR"/>
        </w:rPr>
        <w:t>a</w:t>
      </w:r>
      <w:r w:rsidRPr="000275CD">
        <w:rPr>
          <w:bCs/>
          <w:lang w:eastAsia="fr-FR"/>
        </w:rPr>
        <w:t>)</w:t>
      </w:r>
      <w:r w:rsidR="005F556F">
        <w:rPr>
          <w:bCs/>
          <w:lang w:eastAsia="fr-FR"/>
        </w:rPr>
        <w:t xml:space="preserve"> and (2026c</w:t>
      </w:r>
      <w:r w:rsidRPr="000275CD">
        <w:rPr>
          <w:bCs/>
          <w:lang w:eastAsia="fr-FR"/>
        </w:rPr>
        <w:t>), written input, pp. 32-36.</w:t>
      </w:r>
      <w:r w:rsidR="00D318D1">
        <w:rPr>
          <w:bCs/>
          <w:lang w:eastAsia="fr-FR"/>
        </w:rPr>
        <w:t xml:space="preserve"> </w:t>
      </w:r>
      <w:r w:rsidR="009C72BA">
        <w:rPr>
          <w:bCs/>
          <w:lang w:eastAsia="fr-FR"/>
        </w:rPr>
        <w:t xml:space="preserve">According to the Government, </w:t>
      </w:r>
      <w:r w:rsidR="00247DE0" w:rsidRPr="00247DE0">
        <w:rPr>
          <w:bCs/>
          <w:lang w:val="en-GB" w:eastAsia="fr-FR"/>
        </w:rPr>
        <w:t>28 out of 39 reform and investment milestones related to the rule of law and the acceleration of justice had been fully implemented</w:t>
      </w:r>
      <w:r w:rsidR="00AE519A" w:rsidRPr="00AE519A">
        <w:rPr>
          <w:bCs/>
          <w:lang w:val="en-GB" w:eastAsia="fr-FR"/>
        </w:rPr>
        <w:t xml:space="preserve"> </w:t>
      </w:r>
      <w:r w:rsidR="00AE519A">
        <w:rPr>
          <w:bCs/>
          <w:lang w:val="en-GB" w:eastAsia="fr-FR"/>
        </w:rPr>
        <w:t>in</w:t>
      </w:r>
      <w:r w:rsidR="00AE519A" w:rsidRPr="00247DE0">
        <w:rPr>
          <w:bCs/>
          <w:lang w:val="en-GB" w:eastAsia="fr-FR"/>
        </w:rPr>
        <w:t xml:space="preserve"> May 2026</w:t>
      </w:r>
      <w:r w:rsidR="00AE519A">
        <w:rPr>
          <w:bCs/>
          <w:lang w:val="en-GB" w:eastAsia="fr-FR"/>
        </w:rPr>
        <w:t>,</w:t>
      </w:r>
      <w:r w:rsidR="00723FBE">
        <w:rPr>
          <w:bCs/>
          <w:lang w:val="en-GB" w:eastAsia="fr-FR"/>
        </w:rPr>
        <w:t xml:space="preserve"> w</w:t>
      </w:r>
      <w:r w:rsidR="00D005F1">
        <w:rPr>
          <w:bCs/>
          <w:lang w:val="en-GB" w:eastAsia="fr-FR"/>
        </w:rPr>
        <w:t>ith</w:t>
      </w:r>
      <w:r w:rsidR="00723FBE">
        <w:rPr>
          <w:bCs/>
          <w:lang w:val="en-GB" w:eastAsia="fr-FR"/>
        </w:rPr>
        <w:t xml:space="preserve"> the remaining ones </w:t>
      </w:r>
      <w:r w:rsidR="001D3CB7">
        <w:rPr>
          <w:bCs/>
          <w:lang w:val="en-GB" w:eastAsia="fr-FR"/>
        </w:rPr>
        <w:t>expected to be delivered on time</w:t>
      </w:r>
      <w:r w:rsidR="003340B5">
        <w:rPr>
          <w:bCs/>
          <w:lang w:val="en-GB" w:eastAsia="fr-FR"/>
        </w:rPr>
        <w:t>.</w:t>
      </w:r>
    </w:p>
  </w:footnote>
  <w:footnote w:id="18">
    <w:p w14:paraId="0EE1605C" w14:textId="77777777"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bCs/>
          <w:lang w:eastAsia="fr-FR"/>
        </w:rPr>
        <w:t xml:space="preserve">From January 2026, cadastral case documents are submitted electronically, with extension to all ordinary proceedings in April 2026. </w:t>
      </w:r>
    </w:p>
  </w:footnote>
  <w:footnote w:id="19">
    <w:p w14:paraId="773A7279" w14:textId="77777777" w:rsidR="00E51455" w:rsidRPr="000275CD" w:rsidRDefault="00E51455" w:rsidP="003970E8">
      <w:pPr>
        <w:pStyle w:val="FootnoteText"/>
      </w:pPr>
      <w:r w:rsidRPr="000275CD">
        <w:rPr>
          <w:rStyle w:val="FootnoteReference"/>
        </w:rPr>
        <w:footnoteRef/>
      </w:r>
      <w:r w:rsidRPr="000275CD">
        <w:t xml:space="preserve"> </w:t>
      </w:r>
      <w:r w:rsidRPr="000275CD">
        <w:tab/>
        <w:t>The virtual assistant will categorise and group pending court cases, address legal questions, search for relevant case law through interactive dialogue with users, and draft court decision templates.</w:t>
      </w:r>
    </w:p>
  </w:footnote>
  <w:footnote w:id="20">
    <w:p w14:paraId="18468FFC" w14:textId="015D1D63" w:rsidR="00E51455" w:rsidRPr="000275CD" w:rsidRDefault="00E51455" w:rsidP="003970E8">
      <w:pPr>
        <w:pStyle w:val="FootnoteText"/>
      </w:pPr>
      <w:r w:rsidRPr="000275CD">
        <w:rPr>
          <w:rStyle w:val="FootnoteReference"/>
        </w:rPr>
        <w:footnoteRef/>
      </w:r>
      <w:r w:rsidRPr="000275CD">
        <w:t xml:space="preserve"> </w:t>
      </w:r>
      <w:r w:rsidRPr="000275CD">
        <w:tab/>
        <w:t xml:space="preserve">CCBE (2026), written input, p. 121; Civil </w:t>
      </w:r>
      <w:r w:rsidRPr="0069270B">
        <w:t>Society (</w:t>
      </w:r>
      <w:r w:rsidR="00716EE9" w:rsidRPr="0069270B">
        <w:t>2026</w:t>
      </w:r>
      <w:r w:rsidR="00716EE9">
        <w:rPr>
          <w:rFonts w:eastAsiaTheme="minorHAnsi" w:cstheme="minorBidi"/>
          <w:lang w:val="en-US" w:eastAsia="en-US"/>
        </w:rPr>
        <w:t>b</w:t>
      </w:r>
      <w:r w:rsidRPr="0069270B">
        <w:t xml:space="preserve">), </w:t>
      </w:r>
      <w:r w:rsidRPr="000275CD">
        <w:t xml:space="preserve">p. 6. Country visit, </w:t>
      </w:r>
      <w:r w:rsidRPr="004117FB">
        <w:t>Prosecutors.</w:t>
      </w:r>
      <w:r w:rsidRPr="000275CD">
        <w:t xml:space="preserve"> See also Pillar II on the establishment of a Digital Register for corruption cases. </w:t>
      </w:r>
    </w:p>
  </w:footnote>
  <w:footnote w:id="21">
    <w:p w14:paraId="660E6C1E" w14:textId="77777777"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lang w:eastAsia="fr-FR"/>
        </w:rPr>
        <w:t>ENCJ (2026), written input, p. 26.</w:t>
      </w:r>
    </w:p>
  </w:footnote>
  <w:footnote w:id="22">
    <w:p w14:paraId="5256B63B"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Association of Notaries. </w:t>
      </w:r>
    </w:p>
  </w:footnote>
  <w:footnote w:id="23">
    <w:p w14:paraId="34CC2912" w14:textId="706F1AF6" w:rsidR="00FC0062" w:rsidRDefault="00FC0062">
      <w:pPr>
        <w:pStyle w:val="FootnoteText"/>
      </w:pPr>
      <w:r>
        <w:rPr>
          <w:rStyle w:val="FootnoteReference"/>
        </w:rPr>
        <w:footnoteRef/>
      </w:r>
      <w:r>
        <w:tab/>
        <w:t>Greek Government (2026c).</w:t>
      </w:r>
    </w:p>
  </w:footnote>
  <w:footnote w:id="24">
    <w:p w14:paraId="6399CE86" w14:textId="35027E36"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956B2E">
        <w:t>a and 2026b</w:t>
      </w:r>
      <w:r w:rsidRPr="000275CD">
        <w:t xml:space="preserve">), pp. 41 and 7 respectively. </w:t>
      </w:r>
    </w:p>
  </w:footnote>
  <w:footnote w:id="25">
    <w:p w14:paraId="1E94C366" w14:textId="608F1AF8"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Business </w:t>
      </w:r>
      <w:r w:rsidR="00535D2E">
        <w:t>associations</w:t>
      </w:r>
      <w:r w:rsidRPr="000275CD">
        <w:t xml:space="preserve">. </w:t>
      </w:r>
    </w:p>
  </w:footnote>
  <w:footnote w:id="26">
    <w:p w14:paraId="4C18D5ED" w14:textId="77777777" w:rsidR="00E51455" w:rsidRPr="000275CD" w:rsidRDefault="00E51455" w:rsidP="003970E8">
      <w:pPr>
        <w:pStyle w:val="FootnoteText"/>
      </w:pPr>
      <w:r w:rsidRPr="000275CD">
        <w:rPr>
          <w:rStyle w:val="FootnoteReference"/>
        </w:rPr>
        <w:footnoteRef/>
      </w:r>
      <w:r w:rsidRPr="000275CD">
        <w:t xml:space="preserve"> </w:t>
      </w:r>
      <w:r w:rsidRPr="000275CD">
        <w:tab/>
        <w:t>Figure 27, 2026 EU Justice Scoreboard.</w:t>
      </w:r>
    </w:p>
  </w:footnote>
  <w:footnote w:id="27">
    <w:p w14:paraId="6FD3D5F0" w14:textId="4317B5CC" w:rsidR="00E51455" w:rsidRPr="000275CD" w:rsidRDefault="00E51455" w:rsidP="003970E8">
      <w:pPr>
        <w:pStyle w:val="FootnoteText"/>
      </w:pPr>
      <w:r w:rsidRPr="000275CD">
        <w:rPr>
          <w:rStyle w:val="FootnoteReference"/>
        </w:rPr>
        <w:footnoteRef/>
      </w:r>
      <w:r w:rsidRPr="000275CD">
        <w:t xml:space="preserve"> </w:t>
      </w:r>
      <w:r w:rsidRPr="000275CD">
        <w:tab/>
        <w:t>The new judicial map and changes to criminal procedure have increased single-judge formations, thereby raising the demand for prosecutorial resources to support additional hearings. Greek Government (2026</w:t>
      </w:r>
      <w:r w:rsidR="00DF0F72">
        <w:t>a</w:t>
      </w:r>
      <w:r w:rsidRPr="000275CD">
        <w:t xml:space="preserve">), written input, pp. 36 and 44. In Greece, there are </w:t>
      </w:r>
      <w:r w:rsidR="00A51C6D">
        <w:t>six</w:t>
      </w:r>
      <w:r w:rsidRPr="000275CD">
        <w:t xml:space="preserve"> prosecutors per 100 000 inhabitants (EU average 14.5). </w:t>
      </w:r>
    </w:p>
  </w:footnote>
  <w:footnote w:id="28">
    <w:p w14:paraId="2CC34728" w14:textId="77777777" w:rsidR="00E51455" w:rsidRPr="00124E3B" w:rsidRDefault="00E51455" w:rsidP="003970E8">
      <w:pPr>
        <w:pStyle w:val="FootnoteText"/>
      </w:pPr>
      <w:r w:rsidRPr="000275CD">
        <w:rPr>
          <w:rStyle w:val="FootnoteReference"/>
        </w:rPr>
        <w:footnoteRef/>
      </w:r>
      <w:r w:rsidRPr="000275CD">
        <w:t xml:space="preserve"> </w:t>
      </w:r>
      <w:r w:rsidRPr="000275CD">
        <w:tab/>
        <w:t>Prosecutors</w:t>
      </w:r>
      <w:r w:rsidRPr="000275CD">
        <w:rPr>
          <w:lang w:eastAsia="fr-FR"/>
        </w:rPr>
        <w:t xml:space="preserve"> welcomed the new prosecutorial positions but noted that implementation requires time</w:t>
      </w:r>
      <w:r w:rsidRPr="000275CD">
        <w:t xml:space="preserve">. Country visit </w:t>
      </w:r>
      <w:r w:rsidRPr="00124E3B">
        <w:t xml:space="preserve">Greece, Prosecutors. </w:t>
      </w:r>
    </w:p>
  </w:footnote>
  <w:footnote w:id="29">
    <w:p w14:paraId="5A8DA3D2" w14:textId="484FEC8A" w:rsidR="00E51455" w:rsidRPr="000275CD" w:rsidRDefault="00E51455" w:rsidP="003970E8">
      <w:pPr>
        <w:pStyle w:val="FootnoteText"/>
      </w:pPr>
      <w:r w:rsidRPr="00124E3B">
        <w:rPr>
          <w:rStyle w:val="FootnoteReference"/>
        </w:rPr>
        <w:footnoteRef/>
      </w:r>
      <w:r w:rsidRPr="00124E3B">
        <w:t xml:space="preserve"> </w:t>
      </w:r>
      <w:r w:rsidRPr="00124E3B">
        <w:tab/>
        <w:t xml:space="preserve">Judicial associations </w:t>
      </w:r>
      <w:r w:rsidR="00DF0F72">
        <w:t>(</w:t>
      </w:r>
      <w:r w:rsidRPr="00124E3B">
        <w:t>2025</w:t>
      </w:r>
      <w:r w:rsidR="00DF0F72">
        <w:t>)</w:t>
      </w:r>
      <w:r w:rsidRPr="00124E3B">
        <w:t>.</w:t>
      </w:r>
      <w:r w:rsidRPr="000275CD">
        <w:t xml:space="preserve">   </w:t>
      </w:r>
    </w:p>
  </w:footnote>
  <w:footnote w:id="30">
    <w:p w14:paraId="06D28469" w14:textId="27C57A40" w:rsidR="00E51455" w:rsidRPr="00293C7D" w:rsidRDefault="00E51455" w:rsidP="003970E8">
      <w:pPr>
        <w:pStyle w:val="FootnoteText"/>
      </w:pPr>
      <w:r w:rsidRPr="000275CD">
        <w:rPr>
          <w:rStyle w:val="FootnoteReference"/>
        </w:rPr>
        <w:footnoteRef/>
      </w:r>
      <w:r w:rsidRPr="000275CD">
        <w:t xml:space="preserve"> </w:t>
      </w:r>
      <w:r w:rsidRPr="000275CD">
        <w:tab/>
        <w:t xml:space="preserve">While Greece has the highest number of judges per inhabitants in the EU (Figure 36, 2026 EU Justice Scoreboard), the judge-to-court-staff ratio (1:1.2) remains below the EU average (1:3). Association of Administrative Judges (2026), written input, p. 1; Country visit, </w:t>
      </w:r>
      <w:r w:rsidR="00212E85">
        <w:t>Judicial a</w:t>
      </w:r>
      <w:r w:rsidRPr="00212E85">
        <w:t>ssociations</w:t>
      </w:r>
      <w:r w:rsidRPr="000275CD">
        <w:rPr>
          <w:lang w:eastAsia="fr-FR"/>
        </w:rPr>
        <w:t xml:space="preserve">, </w:t>
      </w:r>
      <w:r w:rsidR="005530F4">
        <w:rPr>
          <w:lang w:eastAsia="fr-FR"/>
        </w:rPr>
        <w:t>Greek</w:t>
      </w:r>
      <w:r w:rsidR="005530F4" w:rsidRPr="000275CD">
        <w:rPr>
          <w:lang w:eastAsia="fr-FR"/>
        </w:rPr>
        <w:t xml:space="preserve"> </w:t>
      </w:r>
      <w:r w:rsidRPr="000275CD">
        <w:rPr>
          <w:lang w:eastAsia="fr-FR"/>
        </w:rPr>
        <w:t>Bar Association</w:t>
      </w:r>
      <w:r w:rsidR="005530F4">
        <w:rPr>
          <w:lang w:eastAsia="fr-FR"/>
        </w:rPr>
        <w:t>s</w:t>
      </w:r>
      <w:r w:rsidRPr="000275CD">
        <w:rPr>
          <w:lang w:eastAsia="fr-FR"/>
        </w:rPr>
        <w:t xml:space="preserve"> and Business </w:t>
      </w:r>
      <w:r w:rsidR="00535D2E">
        <w:rPr>
          <w:lang w:eastAsia="fr-FR"/>
        </w:rPr>
        <w:t>associations</w:t>
      </w:r>
      <w:r w:rsidRPr="000275CD">
        <w:rPr>
          <w:lang w:eastAsia="fr-FR"/>
        </w:rPr>
        <w:t>. 2024 Rule of Law Report, Greece, p. 7.</w:t>
      </w:r>
      <w:r w:rsidR="00293C7D" w:rsidRPr="00D507A1">
        <w:rPr>
          <w:lang w:eastAsia="fr-FR"/>
        </w:rPr>
        <w:t xml:space="preserve"> </w:t>
      </w:r>
      <w:r w:rsidR="00293C7D" w:rsidRPr="00456F57">
        <w:rPr>
          <w:lang w:val="en-GB"/>
        </w:rPr>
        <w:t>General Commissioner of the ordinary administrative courts</w:t>
      </w:r>
      <w:r w:rsidR="00293C7D">
        <w:rPr>
          <w:lang w:val="en-GB"/>
        </w:rPr>
        <w:t xml:space="preserve"> (2026), p. 31.</w:t>
      </w:r>
    </w:p>
  </w:footnote>
  <w:footnote w:id="31">
    <w:p w14:paraId="552E70CF" w14:textId="055F4ACE"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AE61A7">
        <w:t>a</w:t>
      </w:r>
      <w:r w:rsidRPr="000275CD">
        <w:t>), written input, p. 39.</w:t>
      </w:r>
    </w:p>
  </w:footnote>
  <w:footnote w:id="32">
    <w:p w14:paraId="71AA85AB" w14:textId="452EAA8C" w:rsidR="00E51455" w:rsidRPr="000275CD" w:rsidRDefault="00E51455" w:rsidP="003970E8">
      <w:pPr>
        <w:pStyle w:val="FootnoteText"/>
      </w:pPr>
      <w:r w:rsidRPr="000275CD">
        <w:rPr>
          <w:rStyle w:val="FootnoteReference"/>
        </w:rPr>
        <w:footnoteRef/>
      </w:r>
      <w:r w:rsidRPr="000275CD">
        <w:t xml:space="preserve"> </w:t>
      </w:r>
      <w:r w:rsidRPr="000275CD">
        <w:tab/>
        <w:t>2023 Rule of Law Report, Greece, pp. 7-8. Under the previous system, judges travelled from neighbouring prefectures to hold court sessions on designated days each month at temporary 'transitional' court locations. These court seats will now be replaced by permanent telematics offices</w:t>
      </w:r>
      <w:r w:rsidR="0090159E">
        <w:t>-</w:t>
      </w:r>
      <w:r w:rsidRPr="000275CD">
        <w:t>remote hubs for virtual hearings.</w:t>
      </w:r>
    </w:p>
  </w:footnote>
  <w:footnote w:id="33">
    <w:p w14:paraId="35D6F479" w14:textId="6AB21756" w:rsidR="00E51455" w:rsidRPr="000275CD" w:rsidRDefault="00E51455" w:rsidP="003970E8">
      <w:pPr>
        <w:pStyle w:val="FootnoteText"/>
      </w:pPr>
      <w:r w:rsidRPr="000275CD">
        <w:rPr>
          <w:rStyle w:val="FootnoteReference"/>
        </w:rPr>
        <w:footnoteRef/>
      </w:r>
      <w:r w:rsidRPr="000275CD">
        <w:t xml:space="preserve"> </w:t>
      </w:r>
      <w:r w:rsidRPr="000275CD">
        <w:tab/>
        <w:t xml:space="preserve">Association of </w:t>
      </w:r>
      <w:r w:rsidR="00414CE1">
        <w:t>A</w:t>
      </w:r>
      <w:r w:rsidRPr="000275CD">
        <w:t xml:space="preserve">dministrative </w:t>
      </w:r>
      <w:r w:rsidR="00414CE1">
        <w:t>J</w:t>
      </w:r>
      <w:r w:rsidRPr="000275CD">
        <w:t>udges and Centre for European Constitutional Law (2026), written inputs, pp. 3-4 and 12 respectively.</w:t>
      </w:r>
    </w:p>
  </w:footnote>
  <w:footnote w:id="34">
    <w:p w14:paraId="385534F7" w14:textId="491BA539" w:rsidR="0064173A" w:rsidRDefault="0064173A">
      <w:pPr>
        <w:pStyle w:val="FootnoteText"/>
      </w:pPr>
      <w:r>
        <w:rPr>
          <w:rStyle w:val="FootnoteReference"/>
        </w:rPr>
        <w:footnoteRef/>
      </w:r>
      <w:r>
        <w:tab/>
      </w:r>
      <w:bookmarkStart w:id="5" w:name="_Hlk233309161"/>
      <w:r w:rsidR="00E86F85" w:rsidRPr="00456F57">
        <w:rPr>
          <w:lang w:val="en-GB"/>
        </w:rPr>
        <w:t>General Commissioner of the ordinary administrative courts</w:t>
      </w:r>
      <w:r w:rsidR="00E86F85">
        <w:rPr>
          <w:lang w:val="en-GB"/>
        </w:rPr>
        <w:t xml:space="preserve"> (2026</w:t>
      </w:r>
      <w:bookmarkEnd w:id="5"/>
      <w:r w:rsidR="00E86F85">
        <w:rPr>
          <w:lang w:val="en-GB"/>
        </w:rPr>
        <w:t>), p</w:t>
      </w:r>
      <w:r w:rsidR="0036674A">
        <w:t>p. 72-78.</w:t>
      </w:r>
    </w:p>
  </w:footnote>
  <w:footnote w:id="35">
    <w:p w14:paraId="126D8978" w14:textId="2B915FDB"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AE61A7">
        <w:t>b</w:t>
      </w:r>
      <w:r w:rsidRPr="000275CD">
        <w:t xml:space="preserve">), pp. 7-8. Country visit Greece, </w:t>
      </w:r>
      <w:r w:rsidR="005530F4">
        <w:t>Greek</w:t>
      </w:r>
      <w:r w:rsidR="005530F4" w:rsidRPr="000275CD">
        <w:t xml:space="preserve"> </w:t>
      </w:r>
      <w:r w:rsidRPr="000275CD">
        <w:t>Bar Association</w:t>
      </w:r>
      <w:r w:rsidR="005530F4">
        <w:t>s</w:t>
      </w:r>
      <w:r w:rsidRPr="000275CD">
        <w:t>.</w:t>
      </w:r>
    </w:p>
  </w:footnote>
  <w:footnote w:id="36">
    <w:p w14:paraId="0F3F8D53" w14:textId="77777777" w:rsidR="00E51455" w:rsidRPr="000275CD" w:rsidRDefault="00E51455" w:rsidP="003970E8">
      <w:pPr>
        <w:pStyle w:val="FootnoteText"/>
      </w:pPr>
      <w:r w:rsidRPr="000275CD">
        <w:rPr>
          <w:rStyle w:val="FootnoteReference"/>
        </w:rPr>
        <w:footnoteRef/>
      </w:r>
      <w:r w:rsidRPr="000275CD">
        <w:t xml:space="preserve"> </w:t>
      </w:r>
      <w:r w:rsidRPr="000275CD">
        <w:tab/>
        <w:t>2026 EU Justice Scoreboard, Figures 5 and 10.</w:t>
      </w:r>
    </w:p>
  </w:footnote>
  <w:footnote w:id="37">
    <w:p w14:paraId="141D5CA2" w14:textId="3A601A25" w:rsidR="00E51455" w:rsidRPr="000275CD" w:rsidRDefault="00E51455" w:rsidP="003970E8">
      <w:pPr>
        <w:pStyle w:val="FootnoteText"/>
      </w:pPr>
      <w:r w:rsidRPr="000275CD">
        <w:rPr>
          <w:rStyle w:val="FootnoteReference"/>
        </w:rPr>
        <w:footnoteRef/>
      </w:r>
      <w:r w:rsidRPr="000275CD">
        <w:t xml:space="preserve"> </w:t>
      </w:r>
      <w:r w:rsidRPr="000275CD">
        <w:tab/>
      </w:r>
      <w:r w:rsidR="00AE61A7">
        <w:t xml:space="preserve">2026 </w:t>
      </w:r>
      <w:r w:rsidRPr="000275CD">
        <w:t>European Semester, Greece, pp.</w:t>
      </w:r>
      <w:r w:rsidR="000031E0">
        <w:t xml:space="preserve"> </w:t>
      </w:r>
      <w:r w:rsidRPr="000275CD">
        <w:t xml:space="preserve">4, 13, 14 and 71. </w:t>
      </w:r>
    </w:p>
  </w:footnote>
  <w:footnote w:id="38">
    <w:p w14:paraId="45775E29" w14:textId="3D997158" w:rsidR="00E51455" w:rsidRPr="000275CD" w:rsidRDefault="00E51455" w:rsidP="003970E8">
      <w:pPr>
        <w:pStyle w:val="FootnoteText"/>
      </w:pPr>
      <w:r w:rsidRPr="000275CD">
        <w:rPr>
          <w:rStyle w:val="FootnoteReference"/>
        </w:rPr>
        <w:footnoteRef/>
      </w:r>
      <w:r w:rsidRPr="000275CD">
        <w:t xml:space="preserve"> </w:t>
      </w:r>
      <w:r w:rsidRPr="000275CD">
        <w:tab/>
        <w:t>2025 Rule of Law Report, Greece, p. 5. The consolidation of the first degree of jurisdiction with the merging of the magistrate’s courts and the courts of first instance doubled the number of first-instance judges to 2100.</w:t>
      </w:r>
    </w:p>
  </w:footnote>
  <w:footnote w:id="39">
    <w:p w14:paraId="0F64244A" w14:textId="2EEFCB9A"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ED7E57">
        <w:t>a</w:t>
      </w:r>
      <w:r w:rsidRPr="000275CD">
        <w:t xml:space="preserve">), written input, p. 26. </w:t>
      </w:r>
    </w:p>
  </w:footnote>
  <w:footnote w:id="40">
    <w:p w14:paraId="0FD0D2BF" w14:textId="68C9935F"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Supreme Court, </w:t>
      </w:r>
      <w:r w:rsidRPr="00E27AF2">
        <w:t xml:space="preserve">Association of </w:t>
      </w:r>
      <w:r w:rsidR="001C682E" w:rsidRPr="00E27AF2">
        <w:t>J</w:t>
      </w:r>
      <w:r w:rsidRPr="00E27AF2">
        <w:t xml:space="preserve">udges and </w:t>
      </w:r>
      <w:r w:rsidR="001C682E" w:rsidRPr="00E27AF2">
        <w:t>P</w:t>
      </w:r>
      <w:r w:rsidRPr="00E27AF2">
        <w:t>rosecutors</w:t>
      </w:r>
      <w:r w:rsidRPr="000275CD">
        <w:t xml:space="preserve"> and </w:t>
      </w:r>
      <w:r w:rsidR="005530F4">
        <w:t>Greek</w:t>
      </w:r>
      <w:r w:rsidR="005530F4" w:rsidRPr="000275CD">
        <w:t xml:space="preserve"> </w:t>
      </w:r>
      <w:r w:rsidRPr="000275CD">
        <w:t>Bar Association</w:t>
      </w:r>
      <w:r w:rsidR="005530F4">
        <w:t>s</w:t>
      </w:r>
      <w:r w:rsidR="00ED7E57">
        <w:t>;</w:t>
      </w:r>
      <w:r w:rsidRPr="000275CD">
        <w:t xml:space="preserve"> Centre for European Constitutional Law (2026), written input, p. 12.</w:t>
      </w:r>
    </w:p>
  </w:footnote>
  <w:footnote w:id="41">
    <w:p w14:paraId="62FEF20E" w14:textId="38B49B48" w:rsidR="00E51455" w:rsidRPr="000275CD" w:rsidRDefault="00E51455" w:rsidP="003970E8">
      <w:pPr>
        <w:pStyle w:val="FootnoteText"/>
      </w:pPr>
      <w:r w:rsidRPr="000275CD">
        <w:rPr>
          <w:rStyle w:val="FootnoteReference"/>
        </w:rPr>
        <w:footnoteRef/>
      </w:r>
      <w:r w:rsidRPr="000275CD">
        <w:t xml:space="preserve"> </w:t>
      </w:r>
      <w:r w:rsidRPr="000275CD">
        <w:tab/>
        <w:t>Country visit Greece, Council of State</w:t>
      </w:r>
      <w:r w:rsidR="00A96403">
        <w:t>; Greek Government (2026c)</w:t>
      </w:r>
      <w:r w:rsidRPr="000275CD">
        <w:t xml:space="preserve">. </w:t>
      </w:r>
    </w:p>
  </w:footnote>
  <w:footnote w:id="42">
    <w:p w14:paraId="6998E3F7" w14:textId="7866F154" w:rsidR="00E51455" w:rsidRPr="000275CD" w:rsidRDefault="00E51455" w:rsidP="003970E8">
      <w:pPr>
        <w:pStyle w:val="FootnoteText"/>
      </w:pPr>
      <w:r w:rsidRPr="000275CD">
        <w:rPr>
          <w:rStyle w:val="FootnoteReference"/>
        </w:rPr>
        <w:footnoteRef/>
      </w:r>
      <w:r w:rsidRPr="000275CD">
        <w:t xml:space="preserve"> </w:t>
      </w:r>
      <w:r w:rsidRPr="000275CD">
        <w:tab/>
        <w:t xml:space="preserve">CCBE (2026), Greece, p. 120; Country visit Greece, Association of Notaries, </w:t>
      </w:r>
      <w:r w:rsidR="005530F4">
        <w:t>Gre</w:t>
      </w:r>
      <w:r w:rsidRPr="000275CD">
        <w:t>e</w:t>
      </w:r>
      <w:r w:rsidR="005530F4">
        <w:t>k</w:t>
      </w:r>
      <w:r w:rsidRPr="000275CD">
        <w:t xml:space="preserve"> Bar Association</w:t>
      </w:r>
      <w:r w:rsidR="005530F4">
        <w:t>s</w:t>
      </w:r>
      <w:r w:rsidRPr="000275CD">
        <w:t>, Supreme Court</w:t>
      </w:r>
      <w:r w:rsidR="00ED7E57">
        <w:t xml:space="preserve"> and</w:t>
      </w:r>
      <w:r w:rsidRPr="000275CD">
        <w:t xml:space="preserve"> </w:t>
      </w:r>
      <w:r w:rsidRPr="00E27AF2">
        <w:t>Association of Judges and Prosecutors</w:t>
      </w:r>
      <w:r w:rsidRPr="000275CD">
        <w:t>. 2025 Rule of Law Report, Greece, p. 6.</w:t>
      </w:r>
    </w:p>
  </w:footnote>
  <w:footnote w:id="43">
    <w:p w14:paraId="296E759D" w14:textId="1E9F001B" w:rsidR="00E51455" w:rsidRPr="000275CD" w:rsidRDefault="00E51455" w:rsidP="003970E8">
      <w:pPr>
        <w:pStyle w:val="FootnoteText"/>
      </w:pPr>
      <w:r w:rsidRPr="000275CD">
        <w:rPr>
          <w:rStyle w:val="FootnoteReference"/>
        </w:rPr>
        <w:footnoteRef/>
      </w:r>
      <w:r w:rsidR="00667432">
        <w:t xml:space="preserve"> </w:t>
      </w:r>
      <w:r w:rsidR="00667432">
        <w:tab/>
      </w:r>
      <w:r w:rsidRPr="000275CD">
        <w:t xml:space="preserve">The digital platform is managed by the Association of Notaries of the Courts of Appeal of Athens, Piraeus, the Aegean and the Dodecanese, under the supervision of the Ministry of Justice. During a first phase, the new rules only apply to demises after 1 November 2025. From 16 September 2026, notaries will handle all cases, no matter the date of passings. Country visit, Greece, Association of </w:t>
      </w:r>
      <w:r w:rsidR="00CE2E10">
        <w:t>N</w:t>
      </w:r>
      <w:r w:rsidRPr="000275CD">
        <w:t xml:space="preserve">otaries. </w:t>
      </w:r>
    </w:p>
  </w:footnote>
  <w:footnote w:id="44">
    <w:p w14:paraId="0DA2DDAE" w14:textId="5B6BD14D" w:rsidR="00E51455" w:rsidRPr="000275CD" w:rsidRDefault="00E51455" w:rsidP="003970E8">
      <w:pPr>
        <w:pStyle w:val="FootnoteText"/>
      </w:pPr>
      <w:r w:rsidRPr="000275CD">
        <w:rPr>
          <w:rStyle w:val="FootnoteReference"/>
        </w:rPr>
        <w:footnoteRef/>
      </w:r>
      <w:r w:rsidR="00667432">
        <w:t xml:space="preserve"> </w:t>
      </w:r>
      <w:r w:rsidR="00B84F19">
        <w:tab/>
      </w:r>
      <w:r w:rsidRPr="000275CD">
        <w:t>Greek Government (2026</w:t>
      </w:r>
      <w:r w:rsidR="009567AB">
        <w:t>a</w:t>
      </w:r>
      <w:r w:rsidRPr="000275CD">
        <w:t>), written input, p. 50. Judges are assigned to these divisions on an</w:t>
      </w:r>
      <w:r w:rsidRPr="000275CD">
        <w:rPr>
          <w:i/>
          <w:iCs/>
        </w:rPr>
        <w:t xml:space="preserve"> </w:t>
      </w:r>
      <w:r w:rsidRPr="000275CD">
        <w:t xml:space="preserve">exclusive basis for a fixed term, renewable, based on objective criteria linked to experience and performance.  </w:t>
      </w:r>
    </w:p>
  </w:footnote>
  <w:footnote w:id="45">
    <w:p w14:paraId="3C1F274A"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Business associations. </w:t>
      </w:r>
    </w:p>
  </w:footnote>
  <w:footnote w:id="46">
    <w:p w14:paraId="12331BE0" w14:textId="682E6A88"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9567AB">
        <w:t>a</w:t>
      </w:r>
      <w:r w:rsidRPr="000275CD">
        <w:t>), written input, pp. 43, 46-47.</w:t>
      </w:r>
    </w:p>
  </w:footnote>
  <w:footnote w:id="47">
    <w:p w14:paraId="4DC1199F" w14:textId="77777777" w:rsidR="00E51455" w:rsidRPr="000275CD" w:rsidRDefault="00E51455" w:rsidP="003970E8">
      <w:pPr>
        <w:pStyle w:val="FootnoteText"/>
      </w:pPr>
      <w:r w:rsidRPr="000275CD">
        <w:rPr>
          <w:rStyle w:val="FootnoteReference"/>
        </w:rPr>
        <w:footnoteRef/>
      </w:r>
      <w:r w:rsidRPr="000275CD">
        <w:t xml:space="preserve"> </w:t>
      </w:r>
      <w:r w:rsidRPr="000275CD">
        <w:tab/>
        <w:t>A maximum number of case files is assigned to each judge; for civil court judges, the limits are 150 cases per year at first instance and 70 cases per year on appeal.</w:t>
      </w:r>
    </w:p>
  </w:footnote>
  <w:footnote w:id="48">
    <w:p w14:paraId="0400B9EA" w14:textId="2569F72C" w:rsidR="00E51455" w:rsidRPr="000275CD" w:rsidRDefault="00E51455" w:rsidP="003970E8">
      <w:pPr>
        <w:pStyle w:val="FootnoteText"/>
      </w:pPr>
      <w:r w:rsidRPr="000275CD">
        <w:rPr>
          <w:rStyle w:val="FootnoteReference"/>
        </w:rPr>
        <w:footnoteRef/>
      </w:r>
      <w:r w:rsidRPr="000275CD">
        <w:t xml:space="preserve"> </w:t>
      </w:r>
      <w:r w:rsidRPr="000275CD">
        <w:tab/>
        <w:t xml:space="preserve">Association of Administrative Judges (2026), written input, p. 1; Country visit, </w:t>
      </w:r>
      <w:r w:rsidR="00125CD0">
        <w:t>Judicial a</w:t>
      </w:r>
      <w:r w:rsidRPr="000275CD">
        <w:t xml:space="preserve">ssociations. </w:t>
      </w:r>
    </w:p>
  </w:footnote>
  <w:footnote w:id="49">
    <w:p w14:paraId="2AE8EE9F"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Judgment of the ECtHR, application 34012/20, </w:t>
      </w:r>
      <w:r w:rsidRPr="000275CD">
        <w:rPr>
          <w:i/>
          <w:iCs/>
        </w:rPr>
        <w:t>Vervele v. Greece</w:t>
      </w:r>
      <w:r w:rsidRPr="000275CD">
        <w:t xml:space="preserve">. </w:t>
      </w:r>
    </w:p>
  </w:footnote>
  <w:footnote w:id="50">
    <w:p w14:paraId="45170E79" w14:textId="7AFF5025"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9567AB">
        <w:t>b</w:t>
      </w:r>
      <w:r w:rsidRPr="000275CD">
        <w:t>), p</w:t>
      </w:r>
      <w:r w:rsidR="009567AB">
        <w:t>p</w:t>
      </w:r>
      <w:r w:rsidR="002F2332">
        <w:t>.</w:t>
      </w:r>
      <w:r w:rsidRPr="000275CD">
        <w:t xml:space="preserve"> 44-45. </w:t>
      </w:r>
    </w:p>
  </w:footnote>
  <w:footnote w:id="51">
    <w:p w14:paraId="20930117" w14:textId="037ECC68"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w:t>
      </w:r>
      <w:r w:rsidR="005530F4">
        <w:t>Greek</w:t>
      </w:r>
      <w:r w:rsidR="005530F4" w:rsidRPr="000275CD">
        <w:t xml:space="preserve"> </w:t>
      </w:r>
      <w:r w:rsidRPr="000275CD">
        <w:t>Bar Association</w:t>
      </w:r>
      <w:r w:rsidR="005530F4">
        <w:t>s</w:t>
      </w:r>
      <w:r w:rsidRPr="000275CD">
        <w:t xml:space="preserve">. </w:t>
      </w:r>
    </w:p>
  </w:footnote>
  <w:footnote w:id="52">
    <w:p w14:paraId="429D8D9F" w14:textId="2B1249E2" w:rsidR="00E51455" w:rsidRPr="000275CD" w:rsidRDefault="00E51455" w:rsidP="005530F4">
      <w:pPr>
        <w:pStyle w:val="FootnoteText"/>
        <w:rPr>
          <w:color w:val="000000"/>
        </w:rPr>
      </w:pPr>
      <w:r w:rsidRPr="000275CD">
        <w:rPr>
          <w:rStyle w:val="FootnoteReference"/>
          <w:color w:val="000000"/>
        </w:rPr>
        <w:footnoteRef/>
      </w:r>
      <w:r w:rsidR="005C1C7E">
        <w:rPr>
          <w:color w:val="000000"/>
        </w:rPr>
        <w:tab/>
      </w:r>
      <w:r w:rsidRPr="000275CD">
        <w:t>The level of perceived corruption is categorised as follows: low (above 79); relatively low (between 79-60),</w:t>
      </w:r>
      <w:r w:rsidR="005A4E5C">
        <w:t xml:space="preserve"> </w:t>
      </w:r>
      <w:r w:rsidRPr="000275CD">
        <w:t>relatively high (between 59-50), high (below 50).</w:t>
      </w:r>
    </w:p>
  </w:footnote>
  <w:footnote w:id="53">
    <w:p w14:paraId="6AE99ED3" w14:textId="256F1D6E" w:rsidR="003E4E21" w:rsidRPr="00EA42FD" w:rsidRDefault="003E4E21">
      <w:pPr>
        <w:pStyle w:val="FootnoteText"/>
      </w:pPr>
      <w:r>
        <w:rPr>
          <w:rStyle w:val="FootnoteReference"/>
        </w:rPr>
        <w:footnoteRef/>
      </w:r>
      <w:r>
        <w:tab/>
      </w:r>
      <w:r w:rsidR="00EA42FD" w:rsidRPr="00996E49">
        <w:t>In 2021, the</w:t>
      </w:r>
      <w:r w:rsidR="00EA42FD" w:rsidRPr="005100AE">
        <w:t xml:space="preserve"> score was </w:t>
      </w:r>
      <w:r w:rsidR="00EA42FD">
        <w:t>49</w:t>
      </w:r>
      <w:r w:rsidR="00EA42FD" w:rsidRPr="005100AE">
        <w:t xml:space="preserve">, while, in </w:t>
      </w:r>
      <w:r w:rsidR="00EA42FD" w:rsidRPr="00996E49">
        <w:t>2025, the score</w:t>
      </w:r>
      <w:r w:rsidR="00EA42FD" w:rsidRPr="005100AE">
        <w:t xml:space="preserve"> is </w:t>
      </w:r>
      <w:r w:rsidR="00EA42FD">
        <w:t>50</w:t>
      </w:r>
      <w:r w:rsidR="00EA42FD" w:rsidRPr="005100AE">
        <w:t>. The score significantly increases/decreases when it</w:t>
      </w:r>
      <w:r w:rsidR="00EA42FD">
        <w:t xml:space="preserve"> </w:t>
      </w:r>
      <w:r w:rsidR="00EA42FD" w:rsidRPr="005100AE">
        <w:t>changes more than five points; improves/deteriorates (changes between 4-5 points) and is relatively stable (changes from 1-3 points) in the last five years.</w:t>
      </w:r>
    </w:p>
  </w:footnote>
  <w:footnote w:id="54">
    <w:p w14:paraId="314EE46E" w14:textId="7091F319" w:rsidR="00E51455" w:rsidRPr="00F10425" w:rsidRDefault="00E51455" w:rsidP="005530F4">
      <w:pPr>
        <w:pStyle w:val="FootnoteText"/>
      </w:pPr>
      <w:r w:rsidRPr="00435598">
        <w:rPr>
          <w:rStyle w:val="FootnoteReference"/>
        </w:rPr>
        <w:footnoteRef/>
      </w:r>
      <w:r w:rsidR="00435598">
        <w:tab/>
      </w:r>
      <w:r w:rsidRPr="00F10425">
        <w:t xml:space="preserve">Data from </w:t>
      </w:r>
      <w:r w:rsidRPr="002523C9">
        <w:rPr>
          <w:rFonts w:eastAsiaTheme="minorHAnsi" w:cstheme="minorBidi"/>
          <w:lang w:val="en-US" w:eastAsia="en-US"/>
        </w:rPr>
        <w:t>Special Eurobarometer 573 (2026) and Flash Eurobarometer 582 (2026).</w:t>
      </w:r>
    </w:p>
  </w:footnote>
  <w:footnote w:id="55">
    <w:p w14:paraId="3A9E175E" w14:textId="6C2FD553" w:rsidR="00E51455" w:rsidRPr="00F10425" w:rsidRDefault="00E51455" w:rsidP="003970E8">
      <w:pPr>
        <w:pStyle w:val="FootnoteText"/>
      </w:pPr>
      <w:r w:rsidRPr="002523C9">
        <w:rPr>
          <w:rStyle w:val="FootnoteReference"/>
        </w:rPr>
        <w:footnoteRef/>
      </w:r>
      <w:r w:rsidRPr="00F10425">
        <w:tab/>
        <w:t>NTA (2026b), p.</w:t>
      </w:r>
      <w:r w:rsidR="00F334E2" w:rsidRPr="00F10425">
        <w:t xml:space="preserve"> </w:t>
      </w:r>
      <w:r w:rsidRPr="00F10425">
        <w:t xml:space="preserve">4. </w:t>
      </w:r>
    </w:p>
  </w:footnote>
  <w:footnote w:id="56">
    <w:p w14:paraId="5DF34EF5" w14:textId="4B278BA0" w:rsidR="00E51455" w:rsidRPr="00F10425" w:rsidRDefault="00E51455" w:rsidP="003970E8">
      <w:pPr>
        <w:pStyle w:val="FootnoteText"/>
      </w:pPr>
      <w:r w:rsidRPr="00A46F97">
        <w:rPr>
          <w:rStyle w:val="FootnoteReference"/>
        </w:rPr>
        <w:footnoteRef/>
      </w:r>
      <w:r w:rsidRPr="00F10425">
        <w:tab/>
        <w:t>Country visit Greece, NTA.</w:t>
      </w:r>
    </w:p>
  </w:footnote>
  <w:footnote w:id="57">
    <w:p w14:paraId="5A28F6BA" w14:textId="77777777" w:rsidR="00E51455" w:rsidRPr="00F10425" w:rsidRDefault="00E51455" w:rsidP="003970E8">
      <w:pPr>
        <w:pStyle w:val="FootnoteText"/>
      </w:pPr>
      <w:r w:rsidRPr="00A46F97">
        <w:rPr>
          <w:rStyle w:val="FootnoteReference"/>
        </w:rPr>
        <w:footnoteRef/>
      </w:r>
      <w:r w:rsidRPr="00A46F97">
        <w:rPr>
          <w:rStyle w:val="FootnoteReference"/>
        </w:rPr>
        <w:t xml:space="preserve"> </w:t>
      </w:r>
      <w:r w:rsidRPr="00F10425">
        <w:tab/>
        <w:t>NTA (2026b), pp. 1-6.</w:t>
      </w:r>
    </w:p>
  </w:footnote>
  <w:footnote w:id="58">
    <w:p w14:paraId="708E22B9" w14:textId="7A2D1F8B" w:rsidR="00E51455" w:rsidRPr="00F10425" w:rsidRDefault="00E51455" w:rsidP="003970E8">
      <w:pPr>
        <w:pStyle w:val="FootnoteText"/>
      </w:pPr>
      <w:r w:rsidRPr="00A46F97">
        <w:rPr>
          <w:rStyle w:val="FootnoteReference"/>
        </w:rPr>
        <w:footnoteRef/>
      </w:r>
      <w:r w:rsidRPr="00F10425">
        <w:tab/>
      </w:r>
      <w:r w:rsidR="00EC1310">
        <w:t>Greek Government (2026</w:t>
      </w:r>
      <w:r w:rsidR="00EA151F">
        <w:t>c</w:t>
      </w:r>
      <w:r w:rsidR="00EC1310">
        <w:t>), p. 1</w:t>
      </w:r>
      <w:r w:rsidR="00E41192">
        <w:t>4</w:t>
      </w:r>
      <w:r w:rsidR="00EC1310">
        <w:t>.</w:t>
      </w:r>
    </w:p>
  </w:footnote>
  <w:footnote w:id="59">
    <w:p w14:paraId="17D6F54A" w14:textId="65A2AFA6" w:rsidR="00E51455" w:rsidRPr="00F10425" w:rsidRDefault="00E51455" w:rsidP="003970E8">
      <w:pPr>
        <w:pStyle w:val="FootnoteText"/>
      </w:pPr>
      <w:r w:rsidRPr="00A46F97">
        <w:rPr>
          <w:rStyle w:val="FootnoteReference"/>
        </w:rPr>
        <w:footnoteRef/>
      </w:r>
      <w:r w:rsidRPr="00F10425">
        <w:tab/>
        <w:t>NTA (2026a), p.</w:t>
      </w:r>
      <w:r w:rsidR="00FB225C" w:rsidRPr="00F10425">
        <w:t xml:space="preserve"> </w:t>
      </w:r>
      <w:r w:rsidRPr="00F10425">
        <w:t xml:space="preserve">2. </w:t>
      </w:r>
    </w:p>
  </w:footnote>
  <w:footnote w:id="60">
    <w:p w14:paraId="2C8CE8E2" w14:textId="0DE74FBA" w:rsidR="00E51455" w:rsidRPr="00F10425" w:rsidDel="00D8241A" w:rsidRDefault="00E51455" w:rsidP="003970E8">
      <w:pPr>
        <w:pStyle w:val="FootnoteText"/>
      </w:pPr>
      <w:r w:rsidRPr="00A46F97">
        <w:rPr>
          <w:rStyle w:val="FootnoteReference"/>
        </w:rPr>
        <w:footnoteRef/>
      </w:r>
      <w:r w:rsidRPr="00F10425">
        <w:tab/>
        <w:t>Greek Government (2026</w:t>
      </w:r>
      <w:r w:rsidR="002523C9">
        <w:t>a</w:t>
      </w:r>
      <w:r w:rsidRPr="00F10425">
        <w:t>), written input, p. 54.</w:t>
      </w:r>
    </w:p>
  </w:footnote>
  <w:footnote w:id="61">
    <w:p w14:paraId="34CEE724" w14:textId="1EB363C6" w:rsidR="00E51455" w:rsidRPr="00F10425" w:rsidRDefault="00E51455" w:rsidP="003970E8">
      <w:pPr>
        <w:pStyle w:val="FootnoteText"/>
      </w:pPr>
      <w:r w:rsidRPr="00A46F97">
        <w:rPr>
          <w:rStyle w:val="FootnoteReference"/>
        </w:rPr>
        <w:footnoteRef/>
      </w:r>
      <w:r w:rsidRPr="00F10425">
        <w:tab/>
        <w:t>Country visit Greece, Civil Society</w:t>
      </w:r>
      <w:r w:rsidR="001035FB">
        <w:t xml:space="preserve"> Organisations</w:t>
      </w:r>
      <w:r w:rsidRPr="00F10425">
        <w:t xml:space="preserve">. </w:t>
      </w:r>
    </w:p>
  </w:footnote>
  <w:footnote w:id="62">
    <w:p w14:paraId="00861D09" w14:textId="71F8BC36" w:rsidR="00E51455" w:rsidRPr="00F10425" w:rsidRDefault="00E51455" w:rsidP="003970E8">
      <w:pPr>
        <w:pStyle w:val="FootnoteText"/>
      </w:pPr>
      <w:r w:rsidRPr="00A46F97">
        <w:rPr>
          <w:rStyle w:val="FootnoteReference"/>
        </w:rPr>
        <w:footnoteRef/>
      </w:r>
      <w:r w:rsidRPr="00F10425">
        <w:tab/>
        <w:t>The 2025 Rule of Law report recommended Greece to “continue efforts to establish a robust track record of prosecutions and final judgments in corruption cases, including high-level corruption.” 2025 Rule of Law Report, Greece, p.</w:t>
      </w:r>
      <w:r w:rsidR="00510759" w:rsidRPr="00F10425">
        <w:t xml:space="preserve"> </w:t>
      </w:r>
      <w:r w:rsidRPr="00F10425">
        <w:t>2. Some progress was previously assessed on this recommendation in 2025, 2024 and 2023.</w:t>
      </w:r>
    </w:p>
  </w:footnote>
  <w:footnote w:id="63">
    <w:p w14:paraId="3414844A" w14:textId="2B9C9EC8" w:rsidR="00E51455" w:rsidRPr="00F10425" w:rsidRDefault="00E51455" w:rsidP="003970E8">
      <w:pPr>
        <w:pStyle w:val="FootnoteText"/>
      </w:pPr>
      <w:r w:rsidRPr="00A46F97">
        <w:rPr>
          <w:rStyle w:val="FootnoteReference"/>
        </w:rPr>
        <w:footnoteRef/>
      </w:r>
      <w:r w:rsidR="00435598">
        <w:tab/>
      </w:r>
      <w:r w:rsidRPr="00F10425">
        <w:t>Hellenic Police</w:t>
      </w:r>
      <w:r w:rsidR="00F2288D">
        <w:t xml:space="preserve"> (2026)</w:t>
      </w:r>
      <w:r w:rsidRPr="00F10425">
        <w:t>, written input, p. 1.</w:t>
      </w:r>
    </w:p>
  </w:footnote>
  <w:footnote w:id="64">
    <w:p w14:paraId="1223D032" w14:textId="3729B2EC" w:rsidR="00E51455" w:rsidRPr="00F10425" w:rsidRDefault="00E51455" w:rsidP="003970E8">
      <w:pPr>
        <w:pStyle w:val="FootnoteText"/>
      </w:pPr>
      <w:r w:rsidRPr="00A46F97">
        <w:rPr>
          <w:rStyle w:val="FootnoteReference"/>
        </w:rPr>
        <w:footnoteRef/>
      </w:r>
      <w:r w:rsidRPr="00A46F97">
        <w:rPr>
          <w:rStyle w:val="FootnoteReference"/>
        </w:rPr>
        <w:t xml:space="preserve"> </w:t>
      </w:r>
      <w:r w:rsidRPr="00F10425">
        <w:tab/>
        <w:t>According to the data provided by the Government, this makes up a total of 462 pending cases, representing a significant backlog. Greek Government (2026</w:t>
      </w:r>
      <w:r w:rsidR="00E577AB">
        <w:t>b</w:t>
      </w:r>
      <w:r w:rsidRPr="00F10425">
        <w:t xml:space="preserve">), additional written input, </w:t>
      </w:r>
      <w:r w:rsidR="00E577AB">
        <w:t>a</w:t>
      </w:r>
      <w:r w:rsidR="00E577AB" w:rsidRPr="00F10425">
        <w:t>nnex</w:t>
      </w:r>
      <w:r w:rsidR="00E577AB">
        <w:t xml:space="preserve">, </w:t>
      </w:r>
      <w:r w:rsidRPr="00F10425">
        <w:t>p.</w:t>
      </w:r>
      <w:r w:rsidR="006026B5" w:rsidRPr="00F10425">
        <w:t xml:space="preserve"> </w:t>
      </w:r>
      <w:r w:rsidRPr="00F10425">
        <w:t xml:space="preserve">2. </w:t>
      </w:r>
      <w:r w:rsidRPr="00F10425">
        <w:tab/>
      </w:r>
    </w:p>
  </w:footnote>
  <w:footnote w:id="65">
    <w:p w14:paraId="02F6CDD2" w14:textId="2D99E682" w:rsidR="00E51455" w:rsidRPr="00F10425" w:rsidRDefault="00E51455" w:rsidP="003970E8">
      <w:pPr>
        <w:pStyle w:val="FootnoteText"/>
      </w:pPr>
      <w:r w:rsidRPr="00A46F97">
        <w:rPr>
          <w:rStyle w:val="FootnoteReference"/>
        </w:rPr>
        <w:footnoteRef/>
      </w:r>
      <w:r w:rsidR="00435598">
        <w:tab/>
      </w:r>
      <w:r w:rsidRPr="00F10425">
        <w:t>The cases are dating from 2021, 2022, 2024 and 2025.</w:t>
      </w:r>
    </w:p>
  </w:footnote>
  <w:footnote w:id="66">
    <w:p w14:paraId="51429D3C" w14:textId="4CDA3299" w:rsidR="00E51455" w:rsidRPr="00F10425" w:rsidRDefault="00E51455" w:rsidP="00A46F97">
      <w:pPr>
        <w:pStyle w:val="FootnoteText"/>
      </w:pPr>
      <w:r w:rsidRPr="00435598">
        <w:rPr>
          <w:rStyle w:val="FootnoteReference"/>
        </w:rPr>
        <w:footnoteRef/>
      </w:r>
      <w:r w:rsidR="00435598">
        <w:tab/>
      </w:r>
      <w:r w:rsidRPr="00F10425">
        <w:t>Country visit Greece</w:t>
      </w:r>
      <w:r w:rsidRPr="00A46F97">
        <w:t xml:space="preserve">, </w:t>
      </w:r>
      <w:r w:rsidRPr="00A46F97">
        <w:rPr>
          <w:lang w:val="en-US"/>
        </w:rPr>
        <w:t>Prosecutors.</w:t>
      </w:r>
      <w:r w:rsidRPr="00F10425">
        <w:t xml:space="preserve"> </w:t>
      </w:r>
    </w:p>
  </w:footnote>
  <w:footnote w:id="67">
    <w:p w14:paraId="0396E1E1" w14:textId="7089A5C9" w:rsidR="00E51455" w:rsidRPr="00F10425" w:rsidRDefault="00E51455" w:rsidP="003970E8">
      <w:pPr>
        <w:pStyle w:val="FootnoteText"/>
      </w:pPr>
      <w:r w:rsidRPr="00A46F97">
        <w:rPr>
          <w:rStyle w:val="FootnoteReference"/>
        </w:rPr>
        <w:footnoteRef/>
      </w:r>
      <w:r w:rsidR="00435598">
        <w:tab/>
      </w:r>
      <w:r w:rsidRPr="00F10425">
        <w:t xml:space="preserve">ENNHRI (2026), </w:t>
      </w:r>
      <w:r w:rsidRPr="006A7629">
        <w:t>p</w:t>
      </w:r>
      <w:r w:rsidR="00D41BF7" w:rsidRPr="006A7629">
        <w:t>p</w:t>
      </w:r>
      <w:r w:rsidRPr="006A7629">
        <w:t>. 3</w:t>
      </w:r>
      <w:r w:rsidR="006A7629" w:rsidRPr="006A7629">
        <w:t>6-37</w:t>
      </w:r>
      <w:r w:rsidRPr="006A7629">
        <w:t>.</w:t>
      </w:r>
    </w:p>
  </w:footnote>
  <w:footnote w:id="68">
    <w:p w14:paraId="206DA244" w14:textId="77777777" w:rsidR="00697623" w:rsidRPr="00F10425" w:rsidRDefault="00697623" w:rsidP="00697623">
      <w:pPr>
        <w:pStyle w:val="FootnoteText"/>
      </w:pPr>
      <w:r w:rsidRPr="00A46F97">
        <w:rPr>
          <w:rStyle w:val="FootnoteReference"/>
        </w:rPr>
        <w:footnoteRef/>
      </w:r>
      <w:r>
        <w:tab/>
      </w:r>
      <w:r w:rsidRPr="00F10425">
        <w:t>Law 5282/2026, Greek Government (2026</w:t>
      </w:r>
      <w:r>
        <w:t>b</w:t>
      </w:r>
      <w:r w:rsidRPr="00F10425">
        <w:t xml:space="preserve">), p. 14 and </w:t>
      </w:r>
      <w:r>
        <w:t>a</w:t>
      </w:r>
      <w:r w:rsidRPr="00F10425">
        <w:t xml:space="preserve">nnex on pillar II, p. 3. </w:t>
      </w:r>
    </w:p>
  </w:footnote>
  <w:footnote w:id="69">
    <w:p w14:paraId="43062CD9" w14:textId="19DA4CC2" w:rsidR="00526749" w:rsidRPr="00336FBD" w:rsidRDefault="00526749" w:rsidP="00336FBD">
      <w:pPr>
        <w:pStyle w:val="FootnoteText"/>
      </w:pPr>
      <w:r>
        <w:rPr>
          <w:rStyle w:val="FootnoteReference"/>
        </w:rPr>
        <w:footnoteRef/>
      </w:r>
      <w:r>
        <w:tab/>
      </w:r>
      <w:r w:rsidR="00336FBD" w:rsidRPr="004A4356">
        <w:t>Joint ministerial declaration, JMD 39597/01.07.2026, GG B΄ 4189/ 09.07.2026</w:t>
      </w:r>
      <w:r w:rsidR="00336FBD" w:rsidRPr="00336FBD">
        <w:t>. </w:t>
      </w:r>
    </w:p>
  </w:footnote>
  <w:footnote w:id="70">
    <w:p w14:paraId="72BB1F69" w14:textId="6BD1CAA4" w:rsidR="00E51455" w:rsidRPr="000275CD" w:rsidRDefault="00E51455" w:rsidP="003970E8">
      <w:pPr>
        <w:pStyle w:val="FootnoteText"/>
      </w:pPr>
      <w:r w:rsidRPr="000275CD">
        <w:rPr>
          <w:rStyle w:val="FootnoteReference"/>
        </w:rPr>
        <w:footnoteRef/>
      </w:r>
      <w:r w:rsidRPr="000275CD">
        <w:tab/>
        <w:t>The oversight of the registry’s operation is entrusted to a three-member committee of the Ministry of Justice, chaired by the Economic Crime Prosecutor. Greek Government (2026</w:t>
      </w:r>
      <w:r w:rsidR="000A1E2E">
        <w:t>a</w:t>
      </w:r>
      <w:r w:rsidRPr="000275CD">
        <w:t>), written input, p. 11.</w:t>
      </w:r>
    </w:p>
  </w:footnote>
  <w:footnote w:id="71">
    <w:p w14:paraId="5914EEEA" w14:textId="4007DBA8" w:rsidR="00202C7B" w:rsidRPr="00F81CA5" w:rsidRDefault="00202C7B">
      <w:pPr>
        <w:pStyle w:val="FootnoteText"/>
        <w:rPr>
          <w:lang w:val="en-US"/>
        </w:rPr>
      </w:pPr>
      <w:r>
        <w:rPr>
          <w:rStyle w:val="FootnoteReference"/>
        </w:rPr>
        <w:footnoteRef/>
      </w:r>
      <w:r>
        <w:tab/>
        <w:t>Greek Government (2026c), p</w:t>
      </w:r>
      <w:r w:rsidR="00CC067F">
        <w:t>p</w:t>
      </w:r>
      <w:r>
        <w:t>.</w:t>
      </w:r>
      <w:r w:rsidR="00CC067F">
        <w:t xml:space="preserve"> 13-14.</w:t>
      </w:r>
      <w:r>
        <w:t xml:space="preserve"> </w:t>
      </w:r>
    </w:p>
  </w:footnote>
  <w:footnote w:id="72">
    <w:p w14:paraId="4C1DA538" w14:textId="600F6545" w:rsidR="00043A50" w:rsidRPr="00043A50" w:rsidRDefault="00043A50">
      <w:pPr>
        <w:pStyle w:val="FootnoteText"/>
      </w:pPr>
      <w:r>
        <w:rPr>
          <w:rStyle w:val="FootnoteReference"/>
        </w:rPr>
        <w:footnoteRef/>
      </w:r>
      <w:r>
        <w:tab/>
      </w:r>
      <w:r w:rsidR="00897714">
        <w:t>T</w:t>
      </w:r>
      <w:r>
        <w:t>he Government</w:t>
      </w:r>
      <w:r w:rsidR="00FD769F">
        <w:t xml:space="preserve"> considers having satisfied</w:t>
      </w:r>
      <w:r>
        <w:t xml:space="preserve"> </w:t>
      </w:r>
      <w:r w:rsidR="00E4468D" w:rsidRPr="00E4468D">
        <w:t xml:space="preserve">requests by </w:t>
      </w:r>
      <w:r w:rsidR="00235F92">
        <w:t xml:space="preserve">the </w:t>
      </w:r>
      <w:r w:rsidR="00E4468D" w:rsidRPr="00E4468D">
        <w:t>EPPO regarding staffing, financing and administrative support</w:t>
      </w:r>
      <w:r w:rsidR="00235F92">
        <w:t>.</w:t>
      </w:r>
      <w:r w:rsidR="00A13E14">
        <w:t xml:space="preserve"> Greek Government (2026c), p.</w:t>
      </w:r>
      <w:r w:rsidR="00084990">
        <w:t xml:space="preserve"> 18.</w:t>
      </w:r>
    </w:p>
  </w:footnote>
  <w:footnote w:id="73">
    <w:p w14:paraId="0FB0E99F" w14:textId="42D64553" w:rsidR="00E51455" w:rsidRPr="000275CD" w:rsidRDefault="00E51455" w:rsidP="003970E8">
      <w:pPr>
        <w:pStyle w:val="FootnoteText"/>
      </w:pPr>
      <w:r w:rsidRPr="000275CD">
        <w:rPr>
          <w:rStyle w:val="FootnoteReference"/>
        </w:rPr>
        <w:footnoteRef/>
      </w:r>
      <w:r w:rsidRPr="000275CD">
        <w:t xml:space="preserve"> </w:t>
      </w:r>
      <w:r w:rsidRPr="000275CD">
        <w:tab/>
      </w:r>
      <w:r w:rsidR="00FF0671">
        <w:t xml:space="preserve">In other four cases, </w:t>
      </w:r>
      <w:r w:rsidR="00F14FA5">
        <w:t xml:space="preserve">authorisation was not granted. </w:t>
      </w:r>
      <w:r w:rsidRPr="000275CD">
        <w:t xml:space="preserve">The regime for parliamentary immunity protects MPs from prosecution only for actions tied to their duties. For unrelated offences investigations proceed without lifting immunity, but prosecution and trial require Parliament to lift it. </w:t>
      </w:r>
      <w:r w:rsidRPr="000275CD">
        <w:rPr>
          <w:lang w:eastAsia="fr-FR"/>
        </w:rPr>
        <w:t xml:space="preserve"> </w:t>
      </w:r>
      <w:r w:rsidR="00D85A8F" w:rsidRPr="000275CD">
        <w:t>Greek Government (2026</w:t>
      </w:r>
      <w:r w:rsidR="00D85A8F">
        <w:t>b</w:t>
      </w:r>
      <w:r w:rsidR="00D85A8F" w:rsidRPr="000275CD">
        <w:t xml:space="preserve">), p. 23. On the immunity for members of Government, see also Pillar IV. </w:t>
      </w:r>
      <w:r w:rsidR="00D85A8F">
        <w:t>T</w:t>
      </w:r>
      <w:r w:rsidR="00D85A8F">
        <w:rPr>
          <w:rFonts w:eastAsiaTheme="minorHAnsi" w:cstheme="minorBidi"/>
          <w:szCs w:val="22"/>
          <w:lang w:eastAsia="fr-FR"/>
        </w:rPr>
        <w:t xml:space="preserve">he EPPO reports that in some cases </w:t>
      </w:r>
      <w:r w:rsidR="00D85A8F" w:rsidRPr="000275CD">
        <w:rPr>
          <w:rFonts w:eastAsiaTheme="minorHAnsi" w:cstheme="minorBidi"/>
          <w:szCs w:val="22"/>
          <w:lang w:eastAsia="fr-FR"/>
        </w:rPr>
        <w:t xml:space="preserve">operational delays, under-resourcing, and the immunity </w:t>
      </w:r>
      <w:r w:rsidR="00D85A8F">
        <w:rPr>
          <w:rFonts w:eastAsiaTheme="minorHAnsi" w:cstheme="minorBidi"/>
          <w:szCs w:val="22"/>
          <w:lang w:eastAsia="fr-FR"/>
        </w:rPr>
        <w:t>enjoyed by</w:t>
      </w:r>
      <w:r w:rsidR="00D85A8F" w:rsidRPr="000275CD">
        <w:rPr>
          <w:rFonts w:eastAsiaTheme="minorHAnsi" w:cstheme="minorBidi"/>
          <w:szCs w:val="22"/>
          <w:lang w:eastAsia="fr-FR"/>
        </w:rPr>
        <w:t xml:space="preserve"> members of Government have had an impact on the EPPO’s and national prosecutors’ ability to investigate and prosecute high-level corruption effectively</w:t>
      </w:r>
      <w:r w:rsidR="00D85A8F">
        <w:rPr>
          <w:rFonts w:eastAsiaTheme="minorHAnsi" w:cstheme="minorBidi"/>
          <w:szCs w:val="22"/>
          <w:lang w:eastAsia="fr-FR"/>
        </w:rPr>
        <w:t>.</w:t>
      </w:r>
      <w:r w:rsidR="00D85A8F" w:rsidRPr="00D85A8F">
        <w:t xml:space="preserve"> </w:t>
      </w:r>
      <w:r w:rsidR="00D85A8F">
        <w:t>The decision of the Supreme Judicial Council of the Supreme Court to</w:t>
      </w:r>
      <w:r w:rsidR="00D85A8F" w:rsidRPr="008C7727">
        <w:rPr>
          <w:lang w:val="en-US"/>
        </w:rPr>
        <w:t xml:space="preserve"> </w:t>
      </w:r>
      <w:r w:rsidR="00D85A8F" w:rsidRPr="00131116">
        <w:rPr>
          <w:lang w:val="en-US"/>
        </w:rPr>
        <w:t xml:space="preserve">renew the term of office of </w:t>
      </w:r>
      <w:r w:rsidR="00D85A8F">
        <w:rPr>
          <w:lang w:val="en-US"/>
        </w:rPr>
        <w:t xml:space="preserve">three </w:t>
      </w:r>
      <w:r w:rsidR="00D85A8F" w:rsidRPr="00131116">
        <w:rPr>
          <w:lang w:val="en-US"/>
        </w:rPr>
        <w:t>European Delegated Prosecutors</w:t>
      </w:r>
      <w:r w:rsidR="00D85A8F" w:rsidRPr="008C7727">
        <w:t xml:space="preserve"> </w:t>
      </w:r>
      <w:r w:rsidR="00D85A8F">
        <w:t xml:space="preserve">for two years prompted reactions by the EPPO. </w:t>
      </w:r>
      <w:r w:rsidR="00A83E29" w:rsidRPr="000275CD">
        <w:t>EPPO (2026), written input, p. 19.</w:t>
      </w:r>
    </w:p>
  </w:footnote>
  <w:footnote w:id="74">
    <w:p w14:paraId="28F7AA55" w14:textId="4A2CF716" w:rsidR="00E51455" w:rsidRPr="000275CD" w:rsidRDefault="00E51455" w:rsidP="003970E8">
      <w:pPr>
        <w:pStyle w:val="FootnoteText"/>
      </w:pPr>
      <w:r w:rsidRPr="000275CD">
        <w:rPr>
          <w:rStyle w:val="FootnoteReference"/>
        </w:rPr>
        <w:footnoteRef/>
      </w:r>
      <w:r w:rsidRPr="000275CD">
        <w:tab/>
        <w:t>Greek Government (2026</w:t>
      </w:r>
      <w:r w:rsidR="00746B22">
        <w:t>c</w:t>
      </w:r>
      <w:r w:rsidRPr="000275CD">
        <w:t xml:space="preserve">), </w:t>
      </w:r>
      <w:r w:rsidR="00746B22">
        <w:t>p. 24</w:t>
      </w:r>
      <w:r w:rsidRPr="000275CD">
        <w:t xml:space="preserve">. </w:t>
      </w:r>
    </w:p>
  </w:footnote>
  <w:footnote w:id="75">
    <w:p w14:paraId="404E4F6D" w14:textId="77777777" w:rsidR="00E51455" w:rsidRPr="000275CD" w:rsidRDefault="00E51455" w:rsidP="00A46F97">
      <w:pPr>
        <w:pStyle w:val="FootnoteText"/>
      </w:pPr>
      <w:r w:rsidRPr="000275CD">
        <w:rPr>
          <w:rStyle w:val="FootnoteReference"/>
        </w:rPr>
        <w:footnoteRef/>
      </w:r>
      <w:r w:rsidRPr="000275CD">
        <w:tab/>
        <w:t>Country visit Greece, Hellenic Police.</w:t>
      </w:r>
    </w:p>
  </w:footnote>
  <w:footnote w:id="76">
    <w:p w14:paraId="1749EC8E" w14:textId="77777777" w:rsidR="00E51455" w:rsidRPr="000275CD" w:rsidRDefault="00E51455" w:rsidP="00A46F97">
      <w:pPr>
        <w:pStyle w:val="FootnoteText"/>
      </w:pPr>
      <w:r w:rsidRPr="000275CD">
        <w:rPr>
          <w:rStyle w:val="FootnoteReference"/>
        </w:rPr>
        <w:footnoteRef/>
      </w:r>
      <w:r w:rsidRPr="000275CD">
        <w:tab/>
        <w:t>Country visit Greece, Hellenic Police.</w:t>
      </w:r>
    </w:p>
  </w:footnote>
  <w:footnote w:id="77">
    <w:p w14:paraId="0A04C2E7" w14:textId="77777777" w:rsidR="00E51455" w:rsidRPr="000275CD" w:rsidRDefault="00E51455" w:rsidP="003970E8">
      <w:pPr>
        <w:pStyle w:val="FootnoteText"/>
      </w:pPr>
      <w:r w:rsidRPr="000275CD">
        <w:rPr>
          <w:rStyle w:val="FootnoteReference"/>
        </w:rPr>
        <w:footnoteRef/>
      </w:r>
      <w:r w:rsidRPr="000275CD">
        <w:t xml:space="preserve"> </w:t>
      </w:r>
      <w:r w:rsidRPr="000275CD">
        <w:tab/>
        <w:t>Country visit Greece, Parliament Committee for the Investigation of Declaration of Assets (CIDA).</w:t>
      </w:r>
    </w:p>
  </w:footnote>
  <w:footnote w:id="78">
    <w:p w14:paraId="73B5DE0C" w14:textId="77777777" w:rsidR="00E51455" w:rsidRPr="000275CD" w:rsidRDefault="00E51455" w:rsidP="003970E8">
      <w:pPr>
        <w:pStyle w:val="FootnoteText"/>
      </w:pPr>
      <w:r w:rsidRPr="000275CD">
        <w:rPr>
          <w:rStyle w:val="FootnoteReference"/>
        </w:rPr>
        <w:footnoteRef/>
      </w:r>
      <w:r w:rsidRPr="000275CD">
        <w:t xml:space="preserve"> </w:t>
      </w:r>
      <w:r w:rsidRPr="000275CD">
        <w:tab/>
        <w:t>1 284 901 users in 2025, compared to 521 484 in 2024. Country visit Greece, CIDA.</w:t>
      </w:r>
    </w:p>
  </w:footnote>
  <w:footnote w:id="79">
    <w:p w14:paraId="07637957" w14:textId="3AAC2A2F" w:rsidR="009C2196" w:rsidRPr="004729E7" w:rsidRDefault="009C2196">
      <w:pPr>
        <w:pStyle w:val="FootnoteText"/>
      </w:pPr>
      <w:r>
        <w:rPr>
          <w:rStyle w:val="FootnoteReference"/>
        </w:rPr>
        <w:footnoteRef/>
      </w:r>
      <w:r>
        <w:tab/>
      </w:r>
      <w:r w:rsidR="009D7553">
        <w:t xml:space="preserve">Greek Government (2026c), p. </w:t>
      </w:r>
      <w:r w:rsidR="00633CC4">
        <w:t>30.</w:t>
      </w:r>
    </w:p>
  </w:footnote>
  <w:footnote w:id="80">
    <w:p w14:paraId="2314732A" w14:textId="1ECD3B39" w:rsidR="00E51455" w:rsidRPr="000275CD" w:rsidRDefault="00E51455" w:rsidP="003970E8">
      <w:pPr>
        <w:pStyle w:val="FootnoteText"/>
      </w:pPr>
      <w:r w:rsidRPr="000275CD">
        <w:rPr>
          <w:rStyle w:val="FootnoteReference"/>
        </w:rPr>
        <w:footnoteRef/>
      </w:r>
      <w:r w:rsidRPr="000275CD">
        <w:tab/>
        <w:t>Country visit Greece, NTA.</w:t>
      </w:r>
      <w:r w:rsidR="004729E7">
        <w:t xml:space="preserve"> </w:t>
      </w:r>
      <w:r w:rsidR="004729E7" w:rsidRPr="00633CC4">
        <w:t>The Asset Declarations Audit Department of the Directorate of Economy and Development received 70 complaints and completed 26 audits in 2025</w:t>
      </w:r>
      <w:r w:rsidR="004729E7">
        <w:t xml:space="preserve">. </w:t>
      </w:r>
      <w:r w:rsidR="004729E7" w:rsidRPr="000275CD">
        <w:t>Greek Government (2026</w:t>
      </w:r>
      <w:r w:rsidR="004729E7">
        <w:t>a</w:t>
      </w:r>
      <w:r w:rsidR="004729E7" w:rsidRPr="000275CD">
        <w:t>), written input, pp. 64-65.</w:t>
      </w:r>
    </w:p>
  </w:footnote>
  <w:footnote w:id="81">
    <w:p w14:paraId="351CFEEF" w14:textId="295DEFCB" w:rsidR="00E51455" w:rsidRPr="000275CD" w:rsidRDefault="00E51455" w:rsidP="003970E8">
      <w:pPr>
        <w:pStyle w:val="FootnoteText"/>
      </w:pPr>
      <w:r w:rsidRPr="000275CD">
        <w:rPr>
          <w:rStyle w:val="FootnoteReference"/>
        </w:rPr>
        <w:footnoteRef/>
      </w:r>
      <w:r w:rsidRPr="000275CD">
        <w:tab/>
      </w:r>
      <w:r w:rsidRPr="001035FB">
        <w:t>Civil Society (2026</w:t>
      </w:r>
      <w:r w:rsidR="001035FB" w:rsidRPr="001035FB">
        <w:t>a</w:t>
      </w:r>
      <w:r w:rsidRPr="001035FB">
        <w:t>),</w:t>
      </w:r>
      <w:r w:rsidRPr="000275CD">
        <w:t xml:space="preserve"> written input, p. 41.</w:t>
      </w:r>
    </w:p>
  </w:footnote>
  <w:footnote w:id="82">
    <w:p w14:paraId="29955924" w14:textId="4B0C7F7D" w:rsidR="00634BC9" w:rsidRPr="00634BC9" w:rsidRDefault="00634BC9">
      <w:pPr>
        <w:pStyle w:val="FootnoteText"/>
      </w:pPr>
      <w:r>
        <w:rPr>
          <w:rStyle w:val="FootnoteReference"/>
        </w:rPr>
        <w:footnoteRef/>
      </w:r>
      <w:r>
        <w:tab/>
      </w:r>
      <w:r w:rsidRPr="00634BC9">
        <w:t>In 2025, a total of 24</w:t>
      </w:r>
      <w:r>
        <w:t xml:space="preserve"> </w:t>
      </w:r>
      <w:r w:rsidRPr="00634BC9">
        <w:t>156 audits were carried out by the CIDA and the special audit bodies, as defined by asset declarations law 5026/2023.</w:t>
      </w:r>
      <w:r>
        <w:t xml:space="preserve"> </w:t>
      </w:r>
      <w:r w:rsidR="002A7245" w:rsidRPr="002A7245">
        <w:t>The Asset Declarations Audit Department of the Directorate of Economy and Development received 70 complaints and completed 26 audits in 2025, according to law 4622/2019</w:t>
      </w:r>
      <w:r w:rsidR="006202B8">
        <w:t xml:space="preserve">. </w:t>
      </w:r>
      <w:r>
        <w:t>Greek Government (2026c), p. 25.</w:t>
      </w:r>
    </w:p>
  </w:footnote>
  <w:footnote w:id="83">
    <w:p w14:paraId="45EE399B" w14:textId="0F8C1A5E" w:rsidR="00F17C21" w:rsidRPr="005C66D0" w:rsidRDefault="00F17C21">
      <w:pPr>
        <w:pStyle w:val="FootnoteText"/>
      </w:pPr>
      <w:r>
        <w:rPr>
          <w:rStyle w:val="FootnoteReference"/>
        </w:rPr>
        <w:footnoteRef/>
      </w:r>
      <w:r>
        <w:tab/>
        <w:t xml:space="preserve">According to the Government, </w:t>
      </w:r>
      <w:r w:rsidR="005C66D0" w:rsidRPr="005C66D0">
        <w:t>certain delays in submissions and publications were reported especially during the transitional implementation phase.</w:t>
      </w:r>
      <w:r w:rsidR="005C66D0">
        <w:t xml:space="preserve"> Greek Government (2026c), p. </w:t>
      </w:r>
      <w:r w:rsidR="000856C6">
        <w:t>11.</w:t>
      </w:r>
    </w:p>
  </w:footnote>
  <w:footnote w:id="84">
    <w:p w14:paraId="346CE3ED" w14:textId="432435B5" w:rsidR="00E51455" w:rsidRPr="000275CD" w:rsidRDefault="00E51455" w:rsidP="003970E8">
      <w:pPr>
        <w:pStyle w:val="FootnoteText"/>
      </w:pPr>
      <w:r w:rsidRPr="000275CD">
        <w:rPr>
          <w:rStyle w:val="FootnoteReference"/>
        </w:rPr>
        <w:footnoteRef/>
      </w:r>
      <w:r w:rsidRPr="000275CD">
        <w:tab/>
        <w:t>Country visit Greece, CIDA. Declarations for 2023 and 2024 were only published in late September 2025. Such long delays make follow-up actions difficult and accountability mechanisms inefficient. Civil Society (2026</w:t>
      </w:r>
      <w:r w:rsidR="001035FB">
        <w:t>a</w:t>
      </w:r>
      <w:r w:rsidRPr="000275CD">
        <w:t>), written input, p. 41.</w:t>
      </w:r>
    </w:p>
  </w:footnote>
  <w:footnote w:id="85">
    <w:p w14:paraId="5070D16A" w14:textId="6672E820" w:rsidR="00E51455" w:rsidRPr="000275CD" w:rsidRDefault="00E51455" w:rsidP="003970E8">
      <w:pPr>
        <w:pStyle w:val="FootnoteText"/>
      </w:pPr>
      <w:r w:rsidRPr="000275CD">
        <w:rPr>
          <w:rStyle w:val="FootnoteReference"/>
        </w:rPr>
        <w:footnoteRef/>
      </w:r>
      <w:r w:rsidRPr="000275CD">
        <w:tab/>
        <w:t>Greek Government (2026</w:t>
      </w:r>
      <w:r w:rsidR="007466BE">
        <w:t>a</w:t>
      </w:r>
      <w:r w:rsidRPr="000275CD">
        <w:t>)</w:t>
      </w:r>
      <w:r w:rsidR="007466BE">
        <w:t xml:space="preserve"> and </w:t>
      </w:r>
      <w:r w:rsidR="007466BE" w:rsidRPr="000275CD">
        <w:t>Civil Society (2026</w:t>
      </w:r>
      <w:r w:rsidR="007466BE">
        <w:t>a</w:t>
      </w:r>
      <w:r w:rsidR="007466BE" w:rsidRPr="000275CD">
        <w:t>),</w:t>
      </w:r>
      <w:r w:rsidRPr="000275CD">
        <w:t xml:space="preserve"> written input</w:t>
      </w:r>
      <w:r w:rsidR="007466BE">
        <w:t>s</w:t>
      </w:r>
      <w:r w:rsidRPr="000275CD">
        <w:t>, p</w:t>
      </w:r>
      <w:r w:rsidR="007466BE">
        <w:t>p</w:t>
      </w:r>
      <w:r w:rsidRPr="000275CD">
        <w:t>. 65</w:t>
      </w:r>
      <w:r w:rsidR="007466BE">
        <w:t xml:space="preserve"> and</w:t>
      </w:r>
      <w:r w:rsidRPr="000275CD">
        <w:t xml:space="preserve"> 44</w:t>
      </w:r>
      <w:r w:rsidR="007466BE">
        <w:t xml:space="preserve"> respectively</w:t>
      </w:r>
      <w:r w:rsidRPr="000275CD">
        <w:t>.</w:t>
      </w:r>
    </w:p>
  </w:footnote>
  <w:footnote w:id="86">
    <w:p w14:paraId="131EB2F1" w14:textId="7960DBEE" w:rsidR="00E51455" w:rsidRPr="000275CD" w:rsidRDefault="00E51455" w:rsidP="003970E8">
      <w:pPr>
        <w:pStyle w:val="FootnoteText"/>
      </w:pPr>
      <w:r w:rsidRPr="000275CD">
        <w:rPr>
          <w:rStyle w:val="FootnoteReference"/>
        </w:rPr>
        <w:footnoteRef/>
      </w:r>
      <w:r w:rsidRPr="000275CD">
        <w:tab/>
        <w:t>NTA (2026a), pp</w:t>
      </w:r>
      <w:r w:rsidR="00746009">
        <w:t>.</w:t>
      </w:r>
      <w:r w:rsidRPr="000275CD">
        <w:t xml:space="preserve"> 3-4</w:t>
      </w:r>
      <w:r w:rsidRPr="000275CD">
        <w:rPr>
          <w:i/>
          <w:iCs/>
        </w:rPr>
        <w:t>.</w:t>
      </w:r>
      <w:r w:rsidRPr="000275CD">
        <w:t xml:space="preserve"> Updating the Code of Conduct for MPs, as well as introducing an obligation to publish their register of gifts was also recommended to be included in the NACAP 2026-2030 by CSOs. Civil Society (2026</w:t>
      </w:r>
      <w:r w:rsidR="001035FB">
        <w:t>a</w:t>
      </w:r>
      <w:r w:rsidRPr="000275CD">
        <w:t>), written input, p. 40.</w:t>
      </w:r>
    </w:p>
  </w:footnote>
  <w:footnote w:id="87">
    <w:p w14:paraId="1BC37C74" w14:textId="77777777" w:rsidR="00E51455" w:rsidRPr="000275CD" w:rsidRDefault="00E51455" w:rsidP="003970E8">
      <w:pPr>
        <w:pStyle w:val="FootnoteText"/>
      </w:pPr>
      <w:r w:rsidRPr="000275CD">
        <w:rPr>
          <w:rStyle w:val="FootnoteReference"/>
        </w:rPr>
        <w:footnoteRef/>
      </w:r>
      <w:r w:rsidRPr="000275CD">
        <w:tab/>
      </w:r>
      <w:r w:rsidRPr="000275CD">
        <w:rPr>
          <w:lang w:eastAsia="fr-FR"/>
        </w:rPr>
        <w:t>The 2025 Rule of Law Report recommended Greece to “to improve the lobbying framework, including by reviewing the definition of a lobbyist and ensuring effective implementation.”</w:t>
      </w:r>
    </w:p>
  </w:footnote>
  <w:footnote w:id="88">
    <w:p w14:paraId="358A2AC2" w14:textId="6DE804A4" w:rsidR="00E51455" w:rsidRPr="000275CD" w:rsidRDefault="00E51455" w:rsidP="003970E8">
      <w:pPr>
        <w:pStyle w:val="FootnoteText"/>
      </w:pPr>
      <w:r w:rsidRPr="000275CD">
        <w:rPr>
          <w:rStyle w:val="FootnoteReference"/>
        </w:rPr>
        <w:footnoteRef/>
      </w:r>
      <w:r w:rsidRPr="000275CD">
        <w:tab/>
        <w:t xml:space="preserve">Training actions </w:t>
      </w:r>
      <w:r w:rsidR="00C8577A">
        <w:t xml:space="preserve">took </w:t>
      </w:r>
      <w:r w:rsidRPr="000275CD">
        <w:t>place in the first half of 2026 under the framework of the “Leadership Academy” of the National Centre for Public Administration and Local Government, jointly with the ΝΤΑ. Greek Government (2026</w:t>
      </w:r>
      <w:r w:rsidR="00794289">
        <w:t>a</w:t>
      </w:r>
      <w:r w:rsidRPr="000275CD">
        <w:t>), written input, p. 12.</w:t>
      </w:r>
      <w:r w:rsidR="00B04307">
        <w:t xml:space="preserve"> Further implementation measures, including awareness-raising and institutional coordination, are being actively developed. Greek Government (2026c), p. 31.</w:t>
      </w:r>
    </w:p>
  </w:footnote>
  <w:footnote w:id="89">
    <w:p w14:paraId="10972C4C" w14:textId="2832EF65" w:rsidR="00E51455" w:rsidRPr="000275CD" w:rsidRDefault="00E51455" w:rsidP="003970E8">
      <w:pPr>
        <w:pStyle w:val="FootnoteText"/>
      </w:pPr>
      <w:r w:rsidRPr="000275CD">
        <w:rPr>
          <w:rStyle w:val="FootnoteReference"/>
        </w:rPr>
        <w:footnoteRef/>
      </w:r>
      <w:r w:rsidRPr="000275CD">
        <w:tab/>
      </w:r>
      <w:r w:rsidRPr="000275CD">
        <w:rPr>
          <w:lang w:eastAsia="fr-FR"/>
        </w:rPr>
        <w:t>This was highlighted in the NTA’s February 2025 report on lobbying which recommended an extension of the scope of the law as regards the definition of ‘lobbyist’, in addition to a change in culture, a commitment to apply the rules by all parties involved and continuous monitoring and review of its procedures and regulations. 2025 Rule of Law Report, Greece and NTA (2026), written input, p</w:t>
      </w:r>
      <w:r w:rsidR="00794289">
        <w:rPr>
          <w:lang w:eastAsia="fr-FR"/>
        </w:rPr>
        <w:t>p</w:t>
      </w:r>
      <w:r w:rsidRPr="000275CD">
        <w:rPr>
          <w:lang w:eastAsia="fr-FR"/>
        </w:rPr>
        <w:t>. 4-5.</w:t>
      </w:r>
    </w:p>
  </w:footnote>
  <w:footnote w:id="90">
    <w:p w14:paraId="69044BAD" w14:textId="233229E0" w:rsidR="00EA151F" w:rsidRPr="00B2657E" w:rsidRDefault="00EA151F">
      <w:pPr>
        <w:pStyle w:val="FootnoteText"/>
      </w:pPr>
      <w:r>
        <w:rPr>
          <w:rStyle w:val="FootnoteReference"/>
        </w:rPr>
        <w:footnoteRef/>
      </w:r>
      <w:r>
        <w:tab/>
        <w:t>Greek Government (2026c), p</w:t>
      </w:r>
      <w:r w:rsidR="00702A70">
        <w:t>. 28.</w:t>
      </w:r>
    </w:p>
  </w:footnote>
  <w:footnote w:id="91">
    <w:p w14:paraId="128B0E98" w14:textId="10BFDFCC" w:rsidR="00E51455" w:rsidRPr="000275CD" w:rsidRDefault="00E51455" w:rsidP="003970E8">
      <w:pPr>
        <w:pStyle w:val="FootnoteText"/>
      </w:pPr>
      <w:r w:rsidRPr="000275CD">
        <w:rPr>
          <w:rStyle w:val="FootnoteReference"/>
        </w:rPr>
        <w:footnoteRef/>
      </w:r>
      <w:r w:rsidRPr="000275CD">
        <w:tab/>
        <w:t>Civil Society (2025</w:t>
      </w:r>
      <w:r w:rsidR="003B7282">
        <w:t xml:space="preserve"> and </w:t>
      </w:r>
      <w:r w:rsidRPr="000275CD">
        <w:t>2026</w:t>
      </w:r>
      <w:r w:rsidR="001035FB">
        <w:t>a</w:t>
      </w:r>
      <w:r w:rsidRPr="000275CD">
        <w:t>), pp. 39 and 39</w:t>
      </w:r>
      <w:r w:rsidR="001035FB">
        <w:t xml:space="preserve"> respectively</w:t>
      </w:r>
      <w:r w:rsidRPr="000275CD">
        <w:t xml:space="preserve">. </w:t>
      </w:r>
    </w:p>
  </w:footnote>
  <w:footnote w:id="92">
    <w:p w14:paraId="7BBB8C6C" w14:textId="77777777" w:rsidR="00E51455" w:rsidRPr="000275CD" w:rsidRDefault="00E51455" w:rsidP="003970E8">
      <w:pPr>
        <w:pStyle w:val="FootnoteText"/>
      </w:pPr>
      <w:r w:rsidRPr="000275CD">
        <w:rPr>
          <w:rStyle w:val="FootnoteReference"/>
        </w:rPr>
        <w:footnoteRef/>
      </w:r>
      <w:r w:rsidRPr="000275CD">
        <w:tab/>
        <w:t xml:space="preserve">Law 4829/2021 requires the NTA to publish annual statistics and reports on registered lobbying activities. </w:t>
      </w:r>
    </w:p>
  </w:footnote>
  <w:footnote w:id="93">
    <w:p w14:paraId="6506F5B5" w14:textId="77777777" w:rsidR="00E51455" w:rsidRPr="000275CD" w:rsidRDefault="00E51455" w:rsidP="003970E8">
      <w:pPr>
        <w:pStyle w:val="FootnoteText"/>
      </w:pPr>
      <w:r w:rsidRPr="000275CD">
        <w:rPr>
          <w:rStyle w:val="FootnoteReference"/>
        </w:rPr>
        <w:footnoteRef/>
      </w:r>
      <w:r w:rsidRPr="000275CD">
        <w:t xml:space="preserve"> </w:t>
      </w:r>
      <w:r w:rsidRPr="000275CD">
        <w:tab/>
        <w:t>Referring to the fiscal year 2023.</w:t>
      </w:r>
    </w:p>
  </w:footnote>
  <w:footnote w:id="94">
    <w:p w14:paraId="570CFEF0" w14:textId="6C1AE56C" w:rsidR="00E51455" w:rsidRPr="000275CD" w:rsidRDefault="00E51455" w:rsidP="0026111C">
      <w:pPr>
        <w:pStyle w:val="FootnoteText"/>
      </w:pPr>
      <w:r w:rsidRPr="000275CD">
        <w:rPr>
          <w:rStyle w:val="FootnoteReference"/>
        </w:rPr>
        <w:footnoteRef/>
      </w:r>
      <w:r w:rsidRPr="000275CD">
        <w:t xml:space="preserve"> </w:t>
      </w:r>
      <w:r w:rsidRPr="000275CD">
        <w:tab/>
        <w:t>Law 5166/2024 clarifies that state funding for an electoral contest must be returned in case of non-participation in an election and will be suspended until certain criteria are met in cases where a party or coalition leader is convicted of a criminal offence. 2025 Rule of Law Report, Greece, p. 10.</w:t>
      </w:r>
    </w:p>
  </w:footnote>
  <w:footnote w:id="95">
    <w:p w14:paraId="1E93445F" w14:textId="3662C59A" w:rsidR="00063289" w:rsidRPr="00654677" w:rsidRDefault="00063289">
      <w:pPr>
        <w:pStyle w:val="FootnoteText"/>
      </w:pPr>
      <w:r>
        <w:rPr>
          <w:rStyle w:val="FootnoteReference"/>
        </w:rPr>
        <w:footnoteRef/>
      </w:r>
      <w:r>
        <w:tab/>
        <w:t>Greek Government (2026c), p. 28.</w:t>
      </w:r>
    </w:p>
  </w:footnote>
  <w:footnote w:id="96">
    <w:p w14:paraId="289D2364" w14:textId="7C4EAC20" w:rsidR="00E51455" w:rsidRPr="000275CD" w:rsidRDefault="00E51455" w:rsidP="003970E8">
      <w:pPr>
        <w:pStyle w:val="FootnoteText"/>
      </w:pPr>
      <w:r w:rsidRPr="000275CD">
        <w:rPr>
          <w:rStyle w:val="FootnoteReference"/>
        </w:rPr>
        <w:footnoteRef/>
      </w:r>
      <w:r w:rsidR="000B2B24">
        <w:t xml:space="preserve"> </w:t>
      </w:r>
      <w:r w:rsidR="00D7484B">
        <w:t xml:space="preserve"> </w:t>
      </w:r>
      <w:r w:rsidR="004F3CF3">
        <w:tab/>
      </w:r>
      <w:r w:rsidRPr="000275CD">
        <w:t>Sanctions range from EUR 3 000 to 10 000, with additional penalties for certain more serious violations.</w:t>
      </w:r>
      <w:r w:rsidR="00D7484B">
        <w:t xml:space="preserve">  </w:t>
      </w:r>
      <w:r w:rsidRPr="000275CD">
        <w:t>Country visit Greece, CIDA.</w:t>
      </w:r>
    </w:p>
  </w:footnote>
  <w:footnote w:id="97">
    <w:p w14:paraId="2F6383E1" w14:textId="12774E0F" w:rsidR="00E51455" w:rsidRPr="000275CD" w:rsidRDefault="00E51455" w:rsidP="003970E8">
      <w:pPr>
        <w:pStyle w:val="FootnoteText"/>
      </w:pPr>
      <w:r w:rsidRPr="000275CD">
        <w:rPr>
          <w:rStyle w:val="FootnoteReference"/>
        </w:rPr>
        <w:footnoteRef/>
      </w:r>
      <w:r w:rsidRPr="000275CD">
        <w:t xml:space="preserve"> </w:t>
      </w:r>
      <w:r w:rsidRPr="000275CD">
        <w:tab/>
        <w:t>CIDA</w:t>
      </w:r>
      <w:r w:rsidR="00794289">
        <w:t xml:space="preserve"> (2026)</w:t>
      </w:r>
      <w:r w:rsidRPr="000275CD">
        <w:t>, written input, p. 6.</w:t>
      </w:r>
    </w:p>
  </w:footnote>
  <w:footnote w:id="98">
    <w:p w14:paraId="17C70C55" w14:textId="77F64996" w:rsidR="00E51455" w:rsidRPr="000275CD" w:rsidRDefault="00E51455" w:rsidP="003970E8">
      <w:pPr>
        <w:pStyle w:val="FootnoteText"/>
      </w:pPr>
      <w:r w:rsidRPr="000275CD">
        <w:rPr>
          <w:rStyle w:val="FootnoteReference"/>
        </w:rPr>
        <w:footnoteRef/>
      </w:r>
      <w:r w:rsidRPr="000275CD">
        <w:tab/>
        <w:t xml:space="preserve">In their joint contributions to the 2023, 2024, 2025 and 2026 Rule of Law Reports, civil society organisations reiterated their misgivings about the adequacy of the legislative framework adopted in 2022 (PD 15/2022), notably regarding the use of special bank accounts and the transparency, accountability and objectivity of the audit mechanism. Civil Society (2023), p. 16.   </w:t>
      </w:r>
    </w:p>
  </w:footnote>
  <w:footnote w:id="99">
    <w:p w14:paraId="4A30D831" w14:textId="01FBA559" w:rsidR="00E51455" w:rsidRPr="000275CD" w:rsidRDefault="00E51455" w:rsidP="003970E8">
      <w:pPr>
        <w:pStyle w:val="FootnoteText"/>
      </w:pPr>
      <w:r w:rsidRPr="000275CD">
        <w:rPr>
          <w:rStyle w:val="FootnoteReference"/>
        </w:rPr>
        <w:footnoteRef/>
      </w:r>
      <w:r w:rsidR="00CC250A">
        <w:t xml:space="preserve"> </w:t>
      </w:r>
      <w:r w:rsidRPr="000275CD">
        <w:tab/>
        <w:t>Civil Society (2026</w:t>
      </w:r>
      <w:r w:rsidR="00B931C8">
        <w:t>a</w:t>
      </w:r>
      <w:r w:rsidRPr="000275CD">
        <w:t>), written input, p. 42.</w:t>
      </w:r>
    </w:p>
  </w:footnote>
  <w:footnote w:id="100">
    <w:p w14:paraId="4EE2BC4C" w14:textId="45179D8A" w:rsidR="00E51455" w:rsidRPr="000275CD" w:rsidRDefault="00E51455" w:rsidP="003970E8">
      <w:pPr>
        <w:pStyle w:val="FootnoteText"/>
      </w:pPr>
      <w:r w:rsidRPr="000275CD">
        <w:rPr>
          <w:rStyle w:val="FootnoteReference"/>
        </w:rPr>
        <w:footnoteRef/>
      </w:r>
      <w:r w:rsidRPr="000275CD">
        <w:t xml:space="preserve"> </w:t>
      </w:r>
      <w:r w:rsidRPr="000275CD">
        <w:tab/>
      </w:r>
      <w:r w:rsidRPr="000111DB">
        <w:t>Gree</w:t>
      </w:r>
      <w:r w:rsidR="00544AAD" w:rsidRPr="000111DB">
        <w:t xml:space="preserve">k </w:t>
      </w:r>
      <w:r w:rsidR="000111DB" w:rsidRPr="000111DB">
        <w:t>Government (2026b)</w:t>
      </w:r>
      <w:r w:rsidRPr="000111DB">
        <w:t>, additional written input, p. 16.</w:t>
      </w:r>
    </w:p>
  </w:footnote>
  <w:footnote w:id="101">
    <w:p w14:paraId="6B5E8A0C" w14:textId="3E72022B" w:rsidR="00E51455" w:rsidRPr="000275CD" w:rsidRDefault="00E51455" w:rsidP="003970E8">
      <w:pPr>
        <w:pStyle w:val="FootnoteText"/>
      </w:pPr>
      <w:r w:rsidRPr="000275CD">
        <w:rPr>
          <w:rStyle w:val="FootnoteReference"/>
        </w:rPr>
        <w:footnoteRef/>
      </w:r>
      <w:r w:rsidRPr="000275CD">
        <w:t xml:space="preserve"> </w:t>
      </w:r>
      <w:r w:rsidRPr="000275CD">
        <w:tab/>
        <w:t xml:space="preserve">NTA (2026a), pp. 6-7; 2024 Annual Report, NTA, p. 20. </w:t>
      </w:r>
    </w:p>
  </w:footnote>
  <w:footnote w:id="102">
    <w:p w14:paraId="24E2D16B" w14:textId="77777777" w:rsidR="00E51455" w:rsidRPr="000275CD" w:rsidRDefault="00E51455" w:rsidP="003970E8">
      <w:pPr>
        <w:pStyle w:val="FootnoteText"/>
      </w:pPr>
      <w:r w:rsidRPr="000275CD">
        <w:rPr>
          <w:rStyle w:val="FootnoteReference"/>
        </w:rPr>
        <w:footnoteRef/>
      </w:r>
      <w:r w:rsidRPr="000275CD">
        <w:tab/>
        <w:t>Greek Government (2026), written input, p. 87.</w:t>
      </w:r>
    </w:p>
  </w:footnote>
  <w:footnote w:id="103">
    <w:p w14:paraId="2C88AE72" w14:textId="77777777" w:rsidR="00E51455" w:rsidRPr="000275CD" w:rsidRDefault="00E51455" w:rsidP="003970E8">
      <w:pPr>
        <w:pStyle w:val="FootnoteText"/>
      </w:pPr>
      <w:r w:rsidRPr="000275CD">
        <w:rPr>
          <w:rStyle w:val="FootnoteReference"/>
        </w:rPr>
        <w:footnoteRef/>
      </w:r>
      <w:r w:rsidRPr="000275CD">
        <w:t xml:space="preserve"> </w:t>
      </w:r>
      <w:r w:rsidRPr="000275CD">
        <w:tab/>
        <w:t>Civil Liberties Union for Europe (2026), p. 17.</w:t>
      </w:r>
    </w:p>
  </w:footnote>
  <w:footnote w:id="104">
    <w:p w14:paraId="12990436" w14:textId="6FBEAEFC" w:rsidR="00E51455" w:rsidRPr="000275CD" w:rsidRDefault="00E51455" w:rsidP="003970E8">
      <w:pPr>
        <w:pStyle w:val="FootnoteText"/>
      </w:pPr>
      <w:r w:rsidRPr="000275CD">
        <w:rPr>
          <w:rStyle w:val="FootnoteReference"/>
        </w:rPr>
        <w:footnoteRef/>
      </w:r>
      <w:r w:rsidRPr="000275CD">
        <w:t xml:space="preserve"> </w:t>
      </w:r>
      <w:r w:rsidRPr="000275CD">
        <w:tab/>
        <w:t>Figure 59, 2026 EU Justice Scoreboard</w:t>
      </w:r>
      <w:r w:rsidR="008E32FA">
        <w:t>.</w:t>
      </w:r>
    </w:p>
  </w:footnote>
  <w:footnote w:id="105">
    <w:p w14:paraId="13435952" w14:textId="69F8C3CD" w:rsidR="00E51455" w:rsidRPr="000275CD" w:rsidRDefault="00E51455" w:rsidP="003970E8">
      <w:pPr>
        <w:pStyle w:val="FootnoteText"/>
      </w:pPr>
      <w:r w:rsidRPr="000275CD">
        <w:rPr>
          <w:rStyle w:val="FootnoteReference"/>
        </w:rPr>
        <w:footnoteRef/>
      </w:r>
      <w:r w:rsidRPr="000275CD">
        <w:tab/>
        <w:t xml:space="preserve">Country visit Greece, Hellenic Police; </w:t>
      </w:r>
      <w:r w:rsidRPr="000111DB">
        <w:t>Greek Government (2026</w:t>
      </w:r>
      <w:r w:rsidR="000111DB" w:rsidRPr="000111DB">
        <w:t>b</w:t>
      </w:r>
      <w:r w:rsidRPr="000111DB">
        <w:t>), additional written input, p. 27.</w:t>
      </w:r>
    </w:p>
  </w:footnote>
  <w:footnote w:id="106">
    <w:p w14:paraId="19C66021" w14:textId="77777777" w:rsidR="00E51455" w:rsidRPr="000275CD" w:rsidRDefault="00E51455" w:rsidP="0026111C">
      <w:pPr>
        <w:pStyle w:val="FootnoteText"/>
      </w:pPr>
      <w:r w:rsidRPr="000275CD">
        <w:rPr>
          <w:rStyle w:val="FootnoteReference"/>
        </w:rPr>
        <w:footnoteRef/>
      </w:r>
      <w:r w:rsidRPr="0026111C">
        <w:rPr>
          <w:lang w:val="en-US"/>
        </w:rPr>
        <w:tab/>
      </w:r>
      <w:r w:rsidRPr="000275CD">
        <w:t>This concerned in particular public tenders on clothes and footwear for the military, deliveries of perishable goods to hospitals and public street lighting. Country visit Greece, HSPPA.</w:t>
      </w:r>
    </w:p>
  </w:footnote>
  <w:footnote w:id="107">
    <w:p w14:paraId="6A629473" w14:textId="3A1B2CB1" w:rsidR="00E51455" w:rsidRPr="000275CD" w:rsidRDefault="00E51455" w:rsidP="003970E8">
      <w:pPr>
        <w:pStyle w:val="FootnoteText"/>
      </w:pPr>
      <w:r w:rsidRPr="000275CD">
        <w:rPr>
          <w:rStyle w:val="FootnoteReference"/>
        </w:rPr>
        <w:footnoteRef/>
      </w:r>
      <w:r w:rsidRPr="000275CD">
        <w:tab/>
        <w:t>Greek Government (2026</w:t>
      </w:r>
      <w:r w:rsidR="000111DB">
        <w:t>a</w:t>
      </w:r>
      <w:r w:rsidRPr="000275CD">
        <w:t>), written input, p. 69.</w:t>
      </w:r>
    </w:p>
  </w:footnote>
  <w:footnote w:id="108">
    <w:p w14:paraId="62E5DE09" w14:textId="6B544550" w:rsidR="00E51455" w:rsidRPr="000275CD" w:rsidRDefault="00E51455" w:rsidP="003970E8">
      <w:pPr>
        <w:pStyle w:val="FootnoteText"/>
      </w:pPr>
      <w:r w:rsidRPr="000275CD">
        <w:rPr>
          <w:rStyle w:val="FootnoteReference"/>
        </w:rPr>
        <w:footnoteRef/>
      </w:r>
      <w:r w:rsidRPr="000275CD">
        <w:t xml:space="preserve"> </w:t>
      </w:r>
      <w:r w:rsidRPr="000275CD">
        <w:tab/>
        <w:t>It is conceived as non-binding guidance that complements existing procurement legislation and integrity rules, helping practitioners interpret legal obligations and handle ethical dilemmas. The initiative was developed with support from the EU Technical Support Instrument (TSI). Country visit Greece, NTA.</w:t>
      </w:r>
    </w:p>
  </w:footnote>
  <w:footnote w:id="109">
    <w:p w14:paraId="2783EC71" w14:textId="537C61E3" w:rsidR="00E51455" w:rsidRPr="000275CD" w:rsidRDefault="00E51455" w:rsidP="003970E8">
      <w:pPr>
        <w:pStyle w:val="FootnoteText"/>
      </w:pPr>
      <w:r w:rsidRPr="000275CD">
        <w:rPr>
          <w:rStyle w:val="FootnoteReference"/>
        </w:rPr>
        <w:footnoteRef/>
      </w:r>
      <w:r w:rsidRPr="000275CD">
        <w:t xml:space="preserve"> </w:t>
      </w:r>
      <w:r w:rsidRPr="000275CD">
        <w:tab/>
        <w:t>Registered officials are required to submit asset and interest declarations, declare any conflicts of interest, and comply with safeguards ensuring impartiality and independence. Greek Government (2026</w:t>
      </w:r>
      <w:r w:rsidR="000111DB">
        <w:t>a</w:t>
      </w:r>
      <w:r w:rsidRPr="000275CD">
        <w:t>), written input, pp. 69-70.</w:t>
      </w:r>
    </w:p>
  </w:footnote>
  <w:footnote w:id="110">
    <w:p w14:paraId="0B12777B"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w:t>
      </w:r>
      <w:r w:rsidRPr="0026111C">
        <w:t>business associations.</w:t>
      </w:r>
      <w:r w:rsidRPr="000275CD">
        <w:t xml:space="preserve"> </w:t>
      </w:r>
    </w:p>
  </w:footnote>
  <w:footnote w:id="111">
    <w:p w14:paraId="5E7E67A6" w14:textId="77777777" w:rsidR="00E51455" w:rsidRPr="000275CD" w:rsidRDefault="00E51455" w:rsidP="003970E8">
      <w:pPr>
        <w:pStyle w:val="FootnoteText"/>
      </w:pPr>
      <w:r w:rsidRPr="000275CD">
        <w:rPr>
          <w:rStyle w:val="FootnoteReference"/>
        </w:rPr>
        <w:footnoteRef/>
      </w:r>
      <w:r w:rsidRPr="000275CD">
        <w:tab/>
        <w:t>Country visit Greece, NTA.</w:t>
      </w:r>
    </w:p>
  </w:footnote>
  <w:footnote w:id="112">
    <w:p w14:paraId="325B2D76" w14:textId="6454C9D1" w:rsidR="00E51455" w:rsidRPr="000275CD" w:rsidRDefault="00E51455" w:rsidP="0026111C">
      <w:pPr>
        <w:pStyle w:val="FootnoteText"/>
      </w:pPr>
      <w:r w:rsidRPr="000275CD">
        <w:rPr>
          <w:rStyle w:val="FootnoteReference"/>
        </w:rPr>
        <w:footnoteRef/>
      </w:r>
      <w:r w:rsidRPr="000275CD">
        <w:t xml:space="preserve"> </w:t>
      </w:r>
      <w:r w:rsidRPr="000275CD">
        <w:tab/>
        <w:t>Law 5253/2025; Greek Government (2026</w:t>
      </w:r>
      <w:r w:rsidR="000111DB">
        <w:t>a</w:t>
      </w:r>
      <w:r w:rsidRPr="000275CD">
        <w:t xml:space="preserve">), </w:t>
      </w:r>
      <w:r w:rsidR="005974B8">
        <w:t xml:space="preserve">written input, </w:t>
      </w:r>
      <w:r w:rsidRPr="000275CD">
        <w:t xml:space="preserve">pp. 90-93; </w:t>
      </w:r>
      <w:r w:rsidR="003E627E" w:rsidRPr="000275CD">
        <w:t>European Media Freedom Act</w:t>
      </w:r>
      <w:r w:rsidR="00BF7A5B">
        <w:t>.</w:t>
      </w:r>
      <w:r w:rsidR="003E627E" w:rsidRPr="000275CD">
        <w:t xml:space="preserve"> </w:t>
      </w:r>
    </w:p>
  </w:footnote>
  <w:footnote w:id="113">
    <w:p w14:paraId="6EEBDFC1" w14:textId="4BCD473D" w:rsidR="00E51455" w:rsidRPr="000275CD" w:rsidRDefault="00E51455" w:rsidP="0026111C">
      <w:pPr>
        <w:pStyle w:val="FootnoteText"/>
      </w:pPr>
      <w:r w:rsidRPr="000275CD">
        <w:rPr>
          <w:rStyle w:val="FootnoteReference"/>
        </w:rPr>
        <w:footnoteRef/>
      </w:r>
      <w:r w:rsidRPr="000275CD">
        <w:t xml:space="preserve"> </w:t>
      </w:r>
      <w:r w:rsidRPr="000275CD">
        <w:tab/>
        <w:t>Greek Government (2026</w:t>
      </w:r>
      <w:r w:rsidR="000111DB">
        <w:t>a</w:t>
      </w:r>
      <w:r w:rsidRPr="000275CD">
        <w:t xml:space="preserve">), </w:t>
      </w:r>
      <w:r w:rsidR="00E6472A">
        <w:t xml:space="preserve">written input, </w:t>
      </w:r>
      <w:r w:rsidRPr="000275CD">
        <w:t>pp. 90-93; Country visit Greece, Private Broadcasters.</w:t>
      </w:r>
    </w:p>
  </w:footnote>
  <w:footnote w:id="114">
    <w:p w14:paraId="69F3F1C9" w14:textId="3DED272C" w:rsidR="00E51455" w:rsidRPr="000275CD" w:rsidRDefault="00E51455" w:rsidP="0026111C">
      <w:pPr>
        <w:pStyle w:val="FootnoteText"/>
      </w:pPr>
      <w:r w:rsidRPr="000275CD">
        <w:rPr>
          <w:rStyle w:val="FootnoteReference"/>
        </w:rPr>
        <w:footnoteRef/>
      </w:r>
      <w:r w:rsidRPr="000275CD">
        <w:t xml:space="preserve"> </w:t>
      </w:r>
      <w:r w:rsidRPr="000275CD">
        <w:tab/>
        <w:t xml:space="preserve">NCRTV (2026), p. 1; </w:t>
      </w:r>
      <w:r w:rsidRPr="00906F3A">
        <w:t>Greek Government (2026</w:t>
      </w:r>
      <w:r w:rsidR="000111DB">
        <w:t>a</w:t>
      </w:r>
      <w:r w:rsidRPr="00906F3A">
        <w:t xml:space="preserve">), </w:t>
      </w:r>
      <w:r w:rsidR="00906F3A" w:rsidRPr="00906F3A">
        <w:t xml:space="preserve">written input, </w:t>
      </w:r>
      <w:r w:rsidRPr="00906F3A">
        <w:t>pp. 90-93.</w:t>
      </w:r>
    </w:p>
  </w:footnote>
  <w:footnote w:id="115">
    <w:p w14:paraId="4E8FA3D4" w14:textId="77777777" w:rsidR="00E51455" w:rsidRPr="000275CD" w:rsidRDefault="00E51455" w:rsidP="0026111C">
      <w:pPr>
        <w:pStyle w:val="FootnoteText"/>
      </w:pPr>
      <w:r w:rsidRPr="000275CD">
        <w:rPr>
          <w:rStyle w:val="FootnoteReference"/>
        </w:rPr>
        <w:footnoteRef/>
      </w:r>
      <w:r w:rsidRPr="000275CD">
        <w:t xml:space="preserve"> </w:t>
      </w:r>
      <w:r w:rsidRPr="000275CD">
        <w:tab/>
        <w:t>Notably under Law 4779/2021 transposing the Audiovisual Media Services Directive, Law 5099/2024 implementing the Digital Services Act and Law 5253/2025 partially implementing the European Media Freedom Act.</w:t>
      </w:r>
    </w:p>
  </w:footnote>
  <w:footnote w:id="116">
    <w:p w14:paraId="778CE6DC" w14:textId="77777777" w:rsidR="00E51455" w:rsidRPr="005C2CC2" w:rsidRDefault="00E51455" w:rsidP="0026111C">
      <w:pPr>
        <w:pStyle w:val="FootnoteText"/>
        <w:rPr>
          <w:lang w:val="it-IT"/>
        </w:rPr>
      </w:pPr>
      <w:r w:rsidRPr="000275CD">
        <w:rPr>
          <w:rStyle w:val="FootnoteReference"/>
        </w:rPr>
        <w:footnoteRef/>
      </w:r>
      <w:r w:rsidRPr="005C2CC2">
        <w:rPr>
          <w:lang w:val="it-IT"/>
        </w:rPr>
        <w:t xml:space="preserve"> </w:t>
      </w:r>
      <w:r w:rsidRPr="005C2CC2">
        <w:rPr>
          <w:lang w:val="it-IT"/>
        </w:rPr>
        <w:tab/>
        <w:t>NCRTV (2026), p. 3.</w:t>
      </w:r>
    </w:p>
  </w:footnote>
  <w:footnote w:id="117">
    <w:p w14:paraId="5EA55725" w14:textId="77777777" w:rsidR="004D61BB" w:rsidRPr="005C2CC2" w:rsidRDefault="004D61BB" w:rsidP="0026111C">
      <w:pPr>
        <w:pStyle w:val="FootnoteText"/>
        <w:rPr>
          <w:lang w:val="it-IT"/>
        </w:rPr>
      </w:pPr>
      <w:r w:rsidRPr="000275CD">
        <w:rPr>
          <w:rStyle w:val="FootnoteReference"/>
        </w:rPr>
        <w:footnoteRef/>
      </w:r>
      <w:r w:rsidRPr="005C2CC2">
        <w:rPr>
          <w:lang w:val="it-IT"/>
        </w:rPr>
        <w:t xml:space="preserve"> </w:t>
      </w:r>
      <w:r w:rsidRPr="005C2CC2">
        <w:rPr>
          <w:lang w:val="it-IT"/>
        </w:rPr>
        <w:tab/>
        <w:t>Media Pluralism Monitor (2026), p. 17.</w:t>
      </w:r>
    </w:p>
  </w:footnote>
  <w:footnote w:id="118">
    <w:p w14:paraId="0ABA191A" w14:textId="358C6409" w:rsidR="0026111C" w:rsidRPr="0026111C" w:rsidRDefault="0026111C">
      <w:pPr>
        <w:pStyle w:val="FootnoteText"/>
      </w:pPr>
      <w:r>
        <w:rPr>
          <w:rStyle w:val="FootnoteReference"/>
        </w:rPr>
        <w:footnoteRef/>
      </w:r>
      <w:r>
        <w:rPr>
          <w:lang w:val="en-US"/>
        </w:rPr>
        <w:tab/>
      </w:r>
      <w:r w:rsidRPr="00DE4A13">
        <w:t>Law 5253/2025; Greek Government (2026</w:t>
      </w:r>
      <w:r w:rsidR="00762800">
        <w:t>a</w:t>
      </w:r>
      <w:r w:rsidRPr="00DE4A13">
        <w:t>), written input, pp. 92-93.</w:t>
      </w:r>
    </w:p>
  </w:footnote>
  <w:footnote w:id="119">
    <w:p w14:paraId="7DE21679" w14:textId="29359405" w:rsidR="0026111C" w:rsidRPr="0026111C" w:rsidRDefault="0026111C">
      <w:pPr>
        <w:pStyle w:val="FootnoteText"/>
        <w:rPr>
          <w:lang w:val="en-US"/>
        </w:rPr>
      </w:pPr>
      <w:r>
        <w:rPr>
          <w:rStyle w:val="FootnoteReference"/>
        </w:rPr>
        <w:footnoteRef/>
      </w:r>
      <w:r>
        <w:tab/>
      </w:r>
      <w:r w:rsidRPr="00DE4A13">
        <w:t>Country visit Greece</w:t>
      </w:r>
      <w:r w:rsidRPr="0026111C">
        <w:t>, journalists.</w:t>
      </w:r>
    </w:p>
  </w:footnote>
  <w:footnote w:id="120">
    <w:p w14:paraId="68001F2D" w14:textId="6291A226" w:rsidR="0026111C" w:rsidRPr="0026111C" w:rsidRDefault="0026111C">
      <w:pPr>
        <w:pStyle w:val="FootnoteText"/>
        <w:rPr>
          <w:lang w:val="en-US"/>
        </w:rPr>
      </w:pPr>
      <w:r>
        <w:rPr>
          <w:rStyle w:val="FootnoteReference"/>
        </w:rPr>
        <w:footnoteRef/>
      </w:r>
      <w:r>
        <w:tab/>
      </w:r>
      <w:r w:rsidRPr="00DE4A13">
        <w:t>Greek Government (2026</w:t>
      </w:r>
      <w:r w:rsidR="00762800">
        <w:t>a</w:t>
      </w:r>
      <w:r w:rsidRPr="00DE4A13">
        <w:t xml:space="preserve">), </w:t>
      </w:r>
      <w:r>
        <w:t xml:space="preserve">written input, </w:t>
      </w:r>
      <w:r w:rsidRPr="00DE4A13">
        <w:t>pp. 37-38</w:t>
      </w:r>
      <w:r>
        <w:t>.</w:t>
      </w:r>
      <w:r w:rsidR="008070BD" w:rsidRPr="008070BD">
        <w:t xml:space="preserve"> The scheme, established by Joint Ministerial Decision E/1815/22.05.2026,</w:t>
      </w:r>
      <w:r w:rsidR="008070BD">
        <w:t xml:space="preserve"> has been approved by the European Commission.</w:t>
      </w:r>
      <w:r>
        <w:tab/>
      </w:r>
    </w:p>
  </w:footnote>
  <w:footnote w:id="121">
    <w:p w14:paraId="662F9704" w14:textId="078F20E1" w:rsidR="0026111C" w:rsidRPr="0026111C" w:rsidRDefault="0026111C">
      <w:pPr>
        <w:pStyle w:val="FootnoteText"/>
      </w:pPr>
      <w:r>
        <w:rPr>
          <w:rStyle w:val="FootnoteReference"/>
        </w:rPr>
        <w:footnoteRef/>
      </w:r>
      <w:r>
        <w:tab/>
      </w:r>
      <w:r w:rsidRPr="00DE4A13">
        <w:t>Law 5253/2025; Greek Government (2026</w:t>
      </w:r>
      <w:r w:rsidR="00762800">
        <w:t>a</w:t>
      </w:r>
      <w:r w:rsidRPr="00DE4A13">
        <w:t>), written input, p. 95.</w:t>
      </w:r>
    </w:p>
  </w:footnote>
  <w:footnote w:id="122">
    <w:p w14:paraId="61AC04D1" w14:textId="00535ECB" w:rsidR="0026111C" w:rsidRPr="0026111C" w:rsidRDefault="0026111C">
      <w:pPr>
        <w:pStyle w:val="FootnoteText"/>
        <w:rPr>
          <w:lang w:val="en-US"/>
        </w:rPr>
      </w:pPr>
      <w:r>
        <w:rPr>
          <w:rStyle w:val="FootnoteReference"/>
        </w:rPr>
        <w:footnoteRef/>
      </w:r>
      <w:r>
        <w:tab/>
      </w:r>
      <w:r w:rsidRPr="00DE4A13">
        <w:t xml:space="preserve">Country visit Greece, </w:t>
      </w:r>
      <w:r w:rsidRPr="0026111C">
        <w:t>journalists;</w:t>
      </w:r>
      <w:r w:rsidRPr="00DE4A13">
        <w:t xml:space="preserve"> International Press Institute (2026), p. 15; Civil Society</w:t>
      </w:r>
      <w:r>
        <w:t xml:space="preserve"> </w:t>
      </w:r>
      <w:r w:rsidRPr="00DE4A13">
        <w:t>(2026</w:t>
      </w:r>
      <w:r>
        <w:t>a</w:t>
      </w:r>
      <w:r w:rsidRPr="00DE4A13">
        <w:t>), pp. 47-49; ENNHRI (2026), p. 38.</w:t>
      </w:r>
      <w:r>
        <w:tab/>
      </w:r>
    </w:p>
  </w:footnote>
  <w:footnote w:id="123">
    <w:p w14:paraId="547F6F8A" w14:textId="3C9535A0" w:rsidR="0026111C" w:rsidRPr="0026111C" w:rsidRDefault="0026111C">
      <w:pPr>
        <w:pStyle w:val="FootnoteText"/>
        <w:rPr>
          <w:lang w:val="en-US"/>
        </w:rPr>
      </w:pPr>
      <w:r>
        <w:rPr>
          <w:rStyle w:val="FootnoteReference"/>
        </w:rPr>
        <w:footnoteRef/>
      </w:r>
      <w:r>
        <w:tab/>
      </w:r>
      <w:r w:rsidRPr="00DE4A13">
        <w:t>2025 Rule of Law Report, Greece, p. 13.</w:t>
      </w:r>
      <w:r>
        <w:tab/>
      </w:r>
    </w:p>
  </w:footnote>
  <w:footnote w:id="124">
    <w:p w14:paraId="42F1285C" w14:textId="7692C3E4" w:rsidR="00AC53BC" w:rsidRDefault="00AC53BC">
      <w:pPr>
        <w:pStyle w:val="FootnoteText"/>
      </w:pPr>
      <w:r>
        <w:rPr>
          <w:rStyle w:val="FootnoteReference"/>
        </w:rPr>
        <w:footnoteRef/>
      </w:r>
      <w:r>
        <w:tab/>
        <w:t>Greek Government (2026c).</w:t>
      </w:r>
    </w:p>
  </w:footnote>
  <w:footnote w:id="125">
    <w:p w14:paraId="6FDCC0C9" w14:textId="7E52B159" w:rsidR="0026111C" w:rsidRPr="0026111C" w:rsidRDefault="0026111C">
      <w:pPr>
        <w:pStyle w:val="FootnoteText"/>
        <w:rPr>
          <w:lang w:val="en-US"/>
        </w:rPr>
      </w:pPr>
      <w:r>
        <w:rPr>
          <w:rStyle w:val="FootnoteReference"/>
        </w:rPr>
        <w:footnoteRef/>
      </w:r>
      <w:r>
        <w:tab/>
      </w:r>
      <w:r w:rsidRPr="00DE4A13">
        <w:t>Media Pluralism Monitor (202</w:t>
      </w:r>
      <w:r w:rsidR="00623FF1">
        <w:t>6</w:t>
      </w:r>
      <w:r w:rsidRPr="00DE4A13">
        <w:t xml:space="preserve">), p. </w:t>
      </w:r>
      <w:r w:rsidR="00A842E4">
        <w:t>34</w:t>
      </w:r>
      <w:r w:rsidRPr="00DE4A13">
        <w:t>.</w:t>
      </w:r>
    </w:p>
  </w:footnote>
  <w:footnote w:id="126">
    <w:p w14:paraId="7B11A16F" w14:textId="2AE38A86" w:rsidR="0026111C" w:rsidRPr="0026111C" w:rsidRDefault="0026111C">
      <w:pPr>
        <w:pStyle w:val="FootnoteText"/>
        <w:rPr>
          <w:lang w:val="en-US"/>
        </w:rPr>
      </w:pPr>
      <w:r>
        <w:rPr>
          <w:rStyle w:val="FootnoteReference"/>
        </w:rPr>
        <w:footnoteRef/>
      </w:r>
      <w:r>
        <w:tab/>
      </w:r>
      <w:r w:rsidRPr="00DE4A13">
        <w:t>Law 5005/2022</w:t>
      </w:r>
      <w:r>
        <w:t>.</w:t>
      </w:r>
      <w:r>
        <w:tab/>
      </w:r>
    </w:p>
  </w:footnote>
  <w:footnote w:id="127">
    <w:p w14:paraId="64C7CF62" w14:textId="32A4AA64" w:rsidR="0026111C" w:rsidRPr="00B558F3" w:rsidRDefault="0026111C">
      <w:pPr>
        <w:pStyle w:val="FootnoteText"/>
        <w:rPr>
          <w:lang w:val="en-US"/>
        </w:rPr>
      </w:pPr>
      <w:r w:rsidRPr="00B558F3">
        <w:rPr>
          <w:rStyle w:val="FootnoteReference"/>
        </w:rPr>
        <w:footnoteRef/>
      </w:r>
      <w:r w:rsidRPr="00B558F3">
        <w:tab/>
        <w:t>Law 5253/2025; Greek Government (2026</w:t>
      </w:r>
      <w:r w:rsidR="00762800" w:rsidRPr="00B558F3">
        <w:t>a</w:t>
      </w:r>
      <w:r w:rsidRPr="00B558F3">
        <w:t>), written input, pp. 93-94.</w:t>
      </w:r>
      <w:r w:rsidRPr="00B558F3">
        <w:tab/>
      </w:r>
    </w:p>
  </w:footnote>
  <w:footnote w:id="128">
    <w:p w14:paraId="2828A7CE" w14:textId="31F37B6A" w:rsidR="007F10F5" w:rsidRDefault="007F10F5">
      <w:pPr>
        <w:pStyle w:val="FootnoteText"/>
      </w:pPr>
      <w:r>
        <w:rPr>
          <w:rStyle w:val="FootnoteReference"/>
        </w:rPr>
        <w:footnoteRef/>
      </w:r>
      <w:r>
        <w:tab/>
        <w:t>Greek Government (2026c).</w:t>
      </w:r>
      <w:r>
        <w:tab/>
      </w:r>
    </w:p>
  </w:footnote>
  <w:footnote w:id="129">
    <w:p w14:paraId="72EA01D4" w14:textId="58EF6121" w:rsidR="0026111C" w:rsidRPr="0026111C" w:rsidRDefault="0026111C">
      <w:pPr>
        <w:pStyle w:val="FootnoteText"/>
        <w:rPr>
          <w:lang w:val="en-US"/>
        </w:rPr>
      </w:pPr>
      <w:r w:rsidRPr="00B558F3">
        <w:rPr>
          <w:rStyle w:val="FootnoteReference"/>
        </w:rPr>
        <w:footnoteRef/>
      </w:r>
      <w:r w:rsidRPr="00B558F3">
        <w:tab/>
        <w:t xml:space="preserve">Country visit Greece, </w:t>
      </w:r>
      <w:r w:rsidR="00B558F3" w:rsidRPr="00B558F3">
        <w:t>Secretariat General for Communication and Media</w:t>
      </w:r>
      <w:r w:rsidRPr="00B558F3">
        <w:t>.</w:t>
      </w:r>
      <w:r>
        <w:tab/>
      </w:r>
    </w:p>
  </w:footnote>
  <w:footnote w:id="130">
    <w:p w14:paraId="23BC68A2" w14:textId="35FB148C" w:rsidR="00E51455" w:rsidRPr="000275CD" w:rsidRDefault="00E51455" w:rsidP="0026111C">
      <w:pPr>
        <w:pStyle w:val="FootnoteText"/>
      </w:pPr>
      <w:r w:rsidRPr="000275CD">
        <w:rPr>
          <w:rStyle w:val="FootnoteReference"/>
        </w:rPr>
        <w:footnoteRef/>
      </w:r>
      <w:r w:rsidRPr="000275CD">
        <w:t xml:space="preserve"> </w:t>
      </w:r>
      <w:r w:rsidRPr="000275CD">
        <w:tab/>
        <w:t xml:space="preserve">Country visit </w:t>
      </w:r>
      <w:r w:rsidRPr="0026111C">
        <w:t xml:space="preserve">Greece, </w:t>
      </w:r>
      <w:r w:rsidR="0026111C" w:rsidRPr="0026111C">
        <w:t>journalists</w:t>
      </w:r>
      <w:r w:rsidRPr="0026111C">
        <w:t>; International</w:t>
      </w:r>
      <w:r w:rsidRPr="000275CD">
        <w:t xml:space="preserve"> Press Institute (2026), pp. 18-19.</w:t>
      </w:r>
    </w:p>
  </w:footnote>
  <w:footnote w:id="131">
    <w:p w14:paraId="0E06CC39" w14:textId="2626EFD7" w:rsidR="00E51455" w:rsidRPr="00F61728" w:rsidRDefault="00E51455" w:rsidP="0026111C">
      <w:pPr>
        <w:pStyle w:val="FootnoteText"/>
      </w:pPr>
      <w:r w:rsidRPr="000275CD">
        <w:rPr>
          <w:rStyle w:val="FootnoteReference"/>
        </w:rPr>
        <w:footnoteRef/>
      </w:r>
      <w:r w:rsidRPr="00F61728">
        <w:t xml:space="preserve"> </w:t>
      </w:r>
      <w:r w:rsidRPr="00F61728">
        <w:tab/>
        <w:t>Media Pluralism Monitor (2026</w:t>
      </w:r>
      <w:r w:rsidR="00EC439A" w:rsidRPr="00F61728">
        <w:t>),</w:t>
      </w:r>
      <w:r w:rsidRPr="00F61728">
        <w:t xml:space="preserve"> </w:t>
      </w:r>
      <w:r w:rsidR="00F96095" w:rsidRPr="00F61728">
        <w:t xml:space="preserve">Greece, </w:t>
      </w:r>
      <w:r w:rsidRPr="00F61728">
        <w:t>pp</w:t>
      </w:r>
      <w:r w:rsidR="002C5893" w:rsidRPr="00F61728">
        <w:t>.</w:t>
      </w:r>
      <w:r w:rsidRPr="00F61728">
        <w:t xml:space="preserve"> 32-33.</w:t>
      </w:r>
    </w:p>
  </w:footnote>
  <w:footnote w:id="132">
    <w:p w14:paraId="35D5511E" w14:textId="3ECBE0C0" w:rsidR="00E51455" w:rsidRPr="00F61728" w:rsidRDefault="00E51455" w:rsidP="0026111C">
      <w:pPr>
        <w:pStyle w:val="FootnoteText"/>
      </w:pPr>
      <w:r w:rsidRPr="000275CD">
        <w:rPr>
          <w:rStyle w:val="FootnoteReference"/>
        </w:rPr>
        <w:footnoteRef/>
      </w:r>
      <w:r w:rsidRPr="00F61728">
        <w:t xml:space="preserve"> </w:t>
      </w:r>
      <w:r w:rsidRPr="00F61728">
        <w:tab/>
        <w:t>Media Pluralism Monitor (2026)</w:t>
      </w:r>
      <w:r w:rsidR="00F96095" w:rsidRPr="00F61728">
        <w:t xml:space="preserve">, </w:t>
      </w:r>
      <w:r w:rsidRPr="00F61728">
        <w:t>p. 30.</w:t>
      </w:r>
    </w:p>
  </w:footnote>
  <w:footnote w:id="133">
    <w:p w14:paraId="5395BE65" w14:textId="77777777" w:rsidR="00E51455" w:rsidRPr="000275CD" w:rsidRDefault="00E51455" w:rsidP="0026111C">
      <w:pPr>
        <w:pStyle w:val="FootnoteText"/>
      </w:pPr>
      <w:r w:rsidRPr="000275CD">
        <w:rPr>
          <w:rStyle w:val="FootnoteReference"/>
        </w:rPr>
        <w:footnoteRef/>
      </w:r>
      <w:r w:rsidRPr="000275CD">
        <w:t xml:space="preserve"> </w:t>
      </w:r>
      <w:r w:rsidRPr="000275CD">
        <w:tab/>
        <w:t>Article 1 of Ministerial Decision 8229/2025.</w:t>
      </w:r>
    </w:p>
  </w:footnote>
  <w:footnote w:id="134">
    <w:p w14:paraId="32B60202" w14:textId="2DCA38F9" w:rsidR="00E51455" w:rsidRPr="000275CD" w:rsidRDefault="00E51455" w:rsidP="0026111C">
      <w:pPr>
        <w:pStyle w:val="FootnoteText"/>
      </w:pPr>
      <w:r w:rsidRPr="000275CD">
        <w:rPr>
          <w:rStyle w:val="FootnoteReference"/>
        </w:rPr>
        <w:footnoteRef/>
      </w:r>
      <w:r w:rsidRPr="000275CD">
        <w:t xml:space="preserve"> </w:t>
      </w:r>
      <w:r w:rsidRPr="000275CD">
        <w:tab/>
        <w:t>Civil Society(2026</w:t>
      </w:r>
      <w:r w:rsidR="00B931C8">
        <w:t>a</w:t>
      </w:r>
      <w:r w:rsidRPr="000275CD">
        <w:t>),</w:t>
      </w:r>
      <w:r w:rsidR="0023367C">
        <w:t xml:space="preserve"> </w:t>
      </w:r>
      <w:r w:rsidRPr="000275CD">
        <w:t>pp. 54-55.</w:t>
      </w:r>
    </w:p>
  </w:footnote>
  <w:footnote w:id="135">
    <w:p w14:paraId="0B77CDFD" w14:textId="4FD10193" w:rsidR="00E51455" w:rsidRPr="000275CD" w:rsidRDefault="00E51455" w:rsidP="0026111C">
      <w:pPr>
        <w:pStyle w:val="FootnoteText"/>
      </w:pPr>
      <w:r w:rsidRPr="000275CD">
        <w:rPr>
          <w:rStyle w:val="FootnoteReference"/>
        </w:rPr>
        <w:footnoteRef/>
      </w:r>
      <w:r w:rsidRPr="000275CD">
        <w:t xml:space="preserve"> </w:t>
      </w:r>
      <w:r w:rsidRPr="000275CD">
        <w:tab/>
        <w:t xml:space="preserve">Country visit Greece, </w:t>
      </w:r>
      <w:r w:rsidR="00286B87" w:rsidRPr="00286B87">
        <w:t>Secretariat General for Communication and Media</w:t>
      </w:r>
      <w:r w:rsidRPr="000275CD">
        <w:t xml:space="preserve">; Greek Government (2026a), </w:t>
      </w:r>
      <w:r w:rsidR="003A4BA6">
        <w:t xml:space="preserve">written input, </w:t>
      </w:r>
      <w:r w:rsidRPr="000275CD">
        <w:t>p. 38.</w:t>
      </w:r>
    </w:p>
  </w:footnote>
  <w:footnote w:id="136">
    <w:p w14:paraId="0E260C6C" w14:textId="5FC196DF" w:rsidR="00E51455" w:rsidRPr="000275CD" w:rsidRDefault="00E51455" w:rsidP="0026111C">
      <w:pPr>
        <w:pStyle w:val="FootnoteText"/>
      </w:pPr>
      <w:r w:rsidRPr="000275CD">
        <w:rPr>
          <w:rStyle w:val="FootnoteReference"/>
        </w:rPr>
        <w:footnoteRef/>
      </w:r>
      <w:r w:rsidRPr="000275CD">
        <w:t xml:space="preserve"> </w:t>
      </w:r>
      <w:r w:rsidRPr="000275CD">
        <w:tab/>
        <w:t xml:space="preserve">Media Pluralism Monitor (2026), </w:t>
      </w:r>
      <w:r w:rsidR="00F96095">
        <w:t xml:space="preserve">Greece, </w:t>
      </w:r>
      <w:r w:rsidRPr="000275CD">
        <w:t>p. 7.</w:t>
      </w:r>
    </w:p>
  </w:footnote>
  <w:footnote w:id="137">
    <w:p w14:paraId="64B756D6" w14:textId="69C463D4" w:rsidR="00E51455" w:rsidRPr="000275CD" w:rsidRDefault="00E51455" w:rsidP="0026111C">
      <w:pPr>
        <w:pStyle w:val="FootnoteText"/>
      </w:pPr>
      <w:r w:rsidRPr="000275CD">
        <w:rPr>
          <w:rStyle w:val="FootnoteReference"/>
        </w:rPr>
        <w:footnoteRef/>
      </w:r>
      <w:r w:rsidRPr="000275CD">
        <w:t xml:space="preserve"> </w:t>
      </w:r>
      <w:r w:rsidRPr="000275CD">
        <w:tab/>
        <w:t>Law 5253/2025; Greek Government (2026</w:t>
      </w:r>
      <w:r w:rsidR="00783300">
        <w:t>a</w:t>
      </w:r>
      <w:r w:rsidR="00D32AFE">
        <w:t xml:space="preserve"> and 2026b</w:t>
      </w:r>
      <w:r w:rsidRPr="000275CD">
        <w:t>),</w:t>
      </w:r>
      <w:r w:rsidR="008029B8">
        <w:t xml:space="preserve"> </w:t>
      </w:r>
      <w:r w:rsidRPr="000275CD">
        <w:t>pp. 99-103</w:t>
      </w:r>
      <w:r w:rsidR="008029B8">
        <w:t xml:space="preserve"> </w:t>
      </w:r>
      <w:r w:rsidR="00D32AFE">
        <w:t>and</w:t>
      </w:r>
      <w:r w:rsidRPr="000275CD">
        <w:t xml:space="preserve"> 34-37</w:t>
      </w:r>
      <w:r w:rsidR="00D32AFE">
        <w:t xml:space="preserve"> respectively</w:t>
      </w:r>
      <w:r w:rsidRPr="000275CD">
        <w:t>.</w:t>
      </w:r>
      <w:r w:rsidR="00EC6634" w:rsidRPr="00EC6634">
        <w:t xml:space="preserve"> The nationwide consultation cycle </w:t>
      </w:r>
      <w:r w:rsidR="00EC6634">
        <w:t>will bring</w:t>
      </w:r>
      <w:r w:rsidR="00EC6634" w:rsidRPr="00EC6634">
        <w:t xml:space="preserve"> together representatives of public authorities, journalists’ associations, academia, international organisations and civil society. </w:t>
      </w:r>
      <w:r w:rsidR="00260CEB" w:rsidRPr="00260CEB">
        <w:t>The Task Force on the Safety of Journalists</w:t>
      </w:r>
      <w:r w:rsidR="006A0ECF">
        <w:t xml:space="preserve"> </w:t>
      </w:r>
      <w:r w:rsidR="00260CEB" w:rsidRPr="00260CEB">
        <w:t>is in its fourth year of operation and has been recognised by the OSCE as a good practice.</w:t>
      </w:r>
    </w:p>
  </w:footnote>
  <w:footnote w:id="138">
    <w:p w14:paraId="688B3425" w14:textId="7C320A0A" w:rsidR="00E51455" w:rsidRPr="000275CD" w:rsidRDefault="00E51455" w:rsidP="0026111C">
      <w:pPr>
        <w:pStyle w:val="FootnoteText"/>
      </w:pPr>
      <w:r w:rsidRPr="000275CD">
        <w:rPr>
          <w:rStyle w:val="FootnoteReference"/>
        </w:rPr>
        <w:footnoteRef/>
      </w:r>
      <w:r w:rsidRPr="000275CD">
        <w:t xml:space="preserve"> </w:t>
      </w:r>
      <w:r w:rsidRPr="000275CD">
        <w:tab/>
        <w:t xml:space="preserve">Greek Government (2026a), </w:t>
      </w:r>
      <w:r w:rsidR="008029B8">
        <w:t xml:space="preserve">written input, </w:t>
      </w:r>
      <w:r w:rsidRPr="000275CD">
        <w:t>pp. 34-37.</w:t>
      </w:r>
      <w:r w:rsidR="004E4AEC" w:rsidRPr="004E4AEC">
        <w:t xml:space="preserve"> The Centre has developed an innovative training model that brings together journalists and police officers in a structured learning environment, with the aim of enhancing journalist safety, improving communication during crises and strengthening respect for press freedom and human rights. </w:t>
      </w:r>
    </w:p>
  </w:footnote>
  <w:footnote w:id="139">
    <w:p w14:paraId="536A8228" w14:textId="0FC07A83" w:rsidR="00DC716B" w:rsidRDefault="00DC716B">
      <w:pPr>
        <w:pStyle w:val="FootnoteText"/>
      </w:pPr>
      <w:r>
        <w:rPr>
          <w:rStyle w:val="FootnoteReference"/>
        </w:rPr>
        <w:footnoteRef/>
      </w:r>
      <w:r>
        <w:tab/>
        <w:t>T</w:t>
      </w:r>
      <w:r w:rsidRPr="00DC716B">
        <w:t>he proposal includes amendments to Articles 14 and 15 of the Constitution, concerning the modernisation and rationalisation of the framework applicable to the press, television, radio and the internet. It takes into account the evolution of the contemporary media environment, including digital and electronic media. In particular, the proposal expressly refers to the protection of journalists and seeks to strengthen their safeguards also vis-à-vis their employers.</w:t>
      </w:r>
      <w:r>
        <w:t xml:space="preserve"> Greek Government (2026c).</w:t>
      </w:r>
      <w:r>
        <w:tab/>
      </w:r>
    </w:p>
  </w:footnote>
  <w:footnote w:id="140">
    <w:p w14:paraId="492CBE00" w14:textId="6945F755" w:rsidR="00DC716B" w:rsidRDefault="00DC716B">
      <w:pPr>
        <w:pStyle w:val="FootnoteText"/>
      </w:pPr>
      <w:r>
        <w:rPr>
          <w:rStyle w:val="FootnoteReference"/>
        </w:rPr>
        <w:footnoteRef/>
      </w:r>
      <w:r>
        <w:tab/>
      </w:r>
      <w:r w:rsidRPr="00DC716B">
        <w:t>These include, in particular, provision for a certification scheme for the training of journalists for assignments in conflict / war zones, delivered by the International Centre for the Protection and Training of Journalists.</w:t>
      </w:r>
      <w:r>
        <w:t xml:space="preserve"> Greek Government (2026c).</w:t>
      </w:r>
    </w:p>
  </w:footnote>
  <w:footnote w:id="141">
    <w:p w14:paraId="3F5C5891" w14:textId="745DFE48" w:rsidR="00E51455" w:rsidRPr="000275CD" w:rsidRDefault="00E51455" w:rsidP="0026111C">
      <w:pPr>
        <w:pStyle w:val="FootnoteText"/>
      </w:pPr>
      <w:r w:rsidRPr="000275CD">
        <w:rPr>
          <w:rStyle w:val="FootnoteReference"/>
        </w:rPr>
        <w:footnoteRef/>
      </w:r>
      <w:r w:rsidRPr="000275CD">
        <w:t xml:space="preserve"> </w:t>
      </w:r>
      <w:r w:rsidRPr="000275CD">
        <w:tab/>
        <w:t>Media Pluralism Monitor (2026),</w:t>
      </w:r>
      <w:r w:rsidR="008E155A">
        <w:t xml:space="preserve"> </w:t>
      </w:r>
      <w:r w:rsidRPr="000275CD">
        <w:t>Greece, p. 16.</w:t>
      </w:r>
    </w:p>
  </w:footnote>
  <w:footnote w:id="142">
    <w:p w14:paraId="54BE8672" w14:textId="1E6A249B" w:rsidR="00E51455" w:rsidRPr="000275CD" w:rsidRDefault="00E51455" w:rsidP="0026111C">
      <w:pPr>
        <w:pStyle w:val="FootnoteText"/>
        <w:rPr>
          <w:rStyle w:val="FootnoteRoLReportChar"/>
          <w:lang w:val="en-IE"/>
        </w:rPr>
      </w:pPr>
      <w:r w:rsidRPr="000275CD">
        <w:rPr>
          <w:rStyle w:val="Footnote1"/>
          <w:vertAlign w:val="superscript"/>
          <w:lang w:eastAsia="bg-BG" w:bidi="bg-BG"/>
        </w:rPr>
        <w:footnoteRef/>
      </w:r>
      <w:r w:rsidRPr="000275CD">
        <w:rPr>
          <w:rStyle w:val="Footnote1"/>
          <w:lang w:eastAsia="bg-BG" w:bidi="bg-BG"/>
        </w:rPr>
        <w:t xml:space="preserve"> </w:t>
      </w:r>
      <w:r w:rsidRPr="000275CD">
        <w:rPr>
          <w:rStyle w:val="Footnote1"/>
          <w:lang w:eastAsia="bg-BG" w:bidi="bg-BG"/>
        </w:rPr>
        <w:tab/>
      </w:r>
      <w:r w:rsidRPr="000275CD">
        <w:rPr>
          <w:rStyle w:val="FootnoteRoLReportChar"/>
          <w:lang w:val="en-IE"/>
        </w:rPr>
        <w:t>Council of Europe Platform to promote the protection of journalism and safety of journalists (2025-2026). Greece has replied to all alerts.</w:t>
      </w:r>
      <w:r w:rsidR="00590042">
        <w:rPr>
          <w:rStyle w:val="FootnoteRoLReportChar"/>
          <w:lang w:val="en-IE"/>
        </w:rPr>
        <w:t xml:space="preserve"> </w:t>
      </w:r>
      <w:r w:rsidR="00590042" w:rsidRPr="00590042">
        <w:rPr>
          <w:rFonts w:eastAsiaTheme="minorHAnsi" w:cstheme="minorBidi"/>
          <w:lang w:val="en-US" w:eastAsia="en-US"/>
        </w:rPr>
        <w:t>In general, according to the Government</w:t>
      </w:r>
      <w:r w:rsidR="00590042" w:rsidRPr="00590042">
        <w:rPr>
          <w:rFonts w:eastAsiaTheme="minorHAnsi" w:cstheme="minorBidi"/>
          <w:lang w:eastAsia="en-US"/>
        </w:rPr>
        <w:t xml:space="preserve">, </w:t>
      </w:r>
      <w:r w:rsidR="00590042" w:rsidRPr="00590042">
        <w:rPr>
          <w:rFonts w:eastAsiaTheme="minorHAnsi" w:cstheme="minorBidi"/>
          <w:lang w:val="en-US" w:eastAsia="en-US"/>
        </w:rPr>
        <w:t>Greece has answered 80% of all alerts registered since 2015.</w:t>
      </w:r>
      <w:r w:rsidR="00540E5D">
        <w:rPr>
          <w:rStyle w:val="FootnoteRoLReportChar"/>
          <w:lang w:val="en-IE"/>
        </w:rPr>
        <w:t xml:space="preserve"> </w:t>
      </w:r>
    </w:p>
  </w:footnote>
  <w:footnote w:id="143">
    <w:p w14:paraId="2C38A01A" w14:textId="77777777" w:rsidR="00E51455" w:rsidRPr="000275CD" w:rsidRDefault="00E51455" w:rsidP="005A034B">
      <w:pPr>
        <w:pStyle w:val="FootnoteText"/>
      </w:pPr>
      <w:r w:rsidRPr="000A6EF9">
        <w:rPr>
          <w:rStyle w:val="FootnoteReference"/>
        </w:rPr>
        <w:footnoteRef/>
      </w:r>
      <w:r w:rsidRPr="000A6EF9">
        <w:t xml:space="preserve"> </w:t>
      </w:r>
      <w:r w:rsidRPr="000A6EF9">
        <w:tab/>
        <w:t>European Centre for Press and Media Freedom Mapping Media Freedom (2024-2025).</w:t>
      </w:r>
    </w:p>
  </w:footnote>
  <w:footnote w:id="144">
    <w:p w14:paraId="1362D360" w14:textId="74C6BA61" w:rsidR="00E51455" w:rsidRPr="000275CD" w:rsidRDefault="00E51455" w:rsidP="005A034B">
      <w:pPr>
        <w:pStyle w:val="FootnoteText"/>
      </w:pPr>
      <w:r w:rsidRPr="000275CD">
        <w:rPr>
          <w:rStyle w:val="FootnoteReference"/>
        </w:rPr>
        <w:footnoteRef/>
      </w:r>
      <w:r w:rsidRPr="000275CD">
        <w:t xml:space="preserve"> </w:t>
      </w:r>
      <w:r w:rsidRPr="000275CD">
        <w:tab/>
        <w:t>Civil Society (2026</w:t>
      </w:r>
      <w:r w:rsidR="00B931C8">
        <w:t>a</w:t>
      </w:r>
      <w:r w:rsidRPr="000275CD">
        <w:t>)</w:t>
      </w:r>
      <w:r w:rsidR="008B5137">
        <w:t>,</w:t>
      </w:r>
      <w:r w:rsidR="00C92622">
        <w:t xml:space="preserve"> </w:t>
      </w:r>
      <w:r w:rsidRPr="000275CD">
        <w:t xml:space="preserve">pp. 50-52; Reporters without Borders (2026), </w:t>
      </w:r>
      <w:r w:rsidR="00A95C0F">
        <w:t xml:space="preserve">written input, </w:t>
      </w:r>
      <w:r w:rsidRPr="000275CD">
        <w:t>p. 17; Human Rights Watch (2026), p. 1; ENNHRI (2026), p. 36.</w:t>
      </w:r>
      <w:r w:rsidR="004D124E" w:rsidRPr="004D124E">
        <w:t xml:space="preserve"> </w:t>
      </w:r>
      <w:r w:rsidR="004D124E" w:rsidRPr="000275CD">
        <w:t xml:space="preserve">Country visit Greece, </w:t>
      </w:r>
      <w:r w:rsidR="004D124E">
        <w:t>j</w:t>
      </w:r>
      <w:r w:rsidR="004D124E" w:rsidRPr="000275CD">
        <w:t>ournalists</w:t>
      </w:r>
      <w:r w:rsidR="004D124E">
        <w:t>.</w:t>
      </w:r>
    </w:p>
  </w:footnote>
  <w:footnote w:id="145">
    <w:p w14:paraId="5153B9C1" w14:textId="56AB04F5" w:rsidR="00E51455" w:rsidRPr="000275CD" w:rsidRDefault="00E51455" w:rsidP="005A034B">
      <w:pPr>
        <w:pStyle w:val="FootnoteText"/>
      </w:pPr>
      <w:r w:rsidRPr="000275CD">
        <w:rPr>
          <w:rStyle w:val="FootnoteReference"/>
        </w:rPr>
        <w:footnoteRef/>
      </w:r>
      <w:r w:rsidRPr="000275CD">
        <w:t xml:space="preserve"> </w:t>
      </w:r>
      <w:r w:rsidRPr="000275CD">
        <w:tab/>
        <w:t xml:space="preserve">Country visit Greece, </w:t>
      </w:r>
      <w:r w:rsidR="00B931C8" w:rsidRPr="005A034B">
        <w:t>journalists</w:t>
      </w:r>
      <w:r w:rsidRPr="005A034B">
        <w:t>.</w:t>
      </w:r>
    </w:p>
  </w:footnote>
  <w:footnote w:id="146">
    <w:p w14:paraId="1409FD94" w14:textId="77777777" w:rsidR="00E51455" w:rsidRPr="000275CD" w:rsidRDefault="00E51455" w:rsidP="003970E8">
      <w:pPr>
        <w:pStyle w:val="FootnoteText"/>
      </w:pPr>
      <w:r w:rsidRPr="000275CD">
        <w:rPr>
          <w:rStyle w:val="FootnoteReference"/>
        </w:rPr>
        <w:footnoteRef/>
      </w:r>
      <w:r w:rsidRPr="000275CD">
        <w:t xml:space="preserve"> </w:t>
      </w:r>
      <w:r w:rsidRPr="000275CD">
        <w:tab/>
        <w:t>The 2025 Rule of Law Report recommended to Greece to “continue ongoing efforts to strengthen legislative and non-legislative safeguards to improve the safety and protection of journalists, in particular as regards abusive lawsuits, in line with the adopted Memorandum of Understanding and taking into account European standards on the protection of journalists”. Significant progress was previously assessed on this recommendation in 2025 and some progress in 2024 and 2023.</w:t>
      </w:r>
    </w:p>
  </w:footnote>
  <w:footnote w:id="147">
    <w:p w14:paraId="5E51CFC9" w14:textId="643EF190" w:rsidR="00E51455" w:rsidRPr="000275CD" w:rsidRDefault="00E51455" w:rsidP="005A034B">
      <w:pPr>
        <w:pStyle w:val="FootnoteText"/>
      </w:pPr>
      <w:r w:rsidRPr="000275CD">
        <w:rPr>
          <w:rStyle w:val="FootnoteReference"/>
        </w:rPr>
        <w:footnoteRef/>
      </w:r>
      <w:r w:rsidRPr="000275CD">
        <w:t xml:space="preserve"> </w:t>
      </w:r>
      <w:r w:rsidRPr="000275CD">
        <w:tab/>
        <w:t xml:space="preserve">Country visit Greece, </w:t>
      </w:r>
      <w:r w:rsidR="004D124E">
        <w:t>j</w:t>
      </w:r>
      <w:r w:rsidRPr="000275CD">
        <w:t>ournalists; Civil Society(2026a), pp. 52-54; Reporters without Borders (2026), p. 18; International Press Institute (2026), p. 22; ENNHRI (2026), p. 16.</w:t>
      </w:r>
    </w:p>
  </w:footnote>
  <w:footnote w:id="148">
    <w:p w14:paraId="039D34A1" w14:textId="0616BB87" w:rsidR="00E51455" w:rsidRPr="000275CD" w:rsidRDefault="00E51455" w:rsidP="005A034B">
      <w:pPr>
        <w:pStyle w:val="FootnoteText"/>
      </w:pPr>
      <w:r w:rsidRPr="000275CD">
        <w:rPr>
          <w:rStyle w:val="FootnoteReference"/>
        </w:rPr>
        <w:footnoteRef/>
      </w:r>
      <w:r w:rsidRPr="000275CD">
        <w:t xml:space="preserve"> </w:t>
      </w:r>
      <w:r w:rsidRPr="000275CD">
        <w:tab/>
        <w:t>Greek Government (2026</w:t>
      </w:r>
      <w:r w:rsidR="004D124E">
        <w:t>a and 2026b</w:t>
      </w:r>
      <w:r w:rsidRPr="000275CD">
        <w:t>), pp. 105-106 and 31-34; Human Rights Watch (2026), p. 2.</w:t>
      </w:r>
    </w:p>
  </w:footnote>
  <w:footnote w:id="149">
    <w:p w14:paraId="40F8B976" w14:textId="77777777" w:rsidR="00E51455" w:rsidRPr="000275CD" w:rsidRDefault="00E51455" w:rsidP="005A034B">
      <w:pPr>
        <w:pStyle w:val="FootnoteText"/>
      </w:pPr>
      <w:r w:rsidRPr="000275CD">
        <w:rPr>
          <w:rStyle w:val="FootnoteReference"/>
        </w:rPr>
        <w:footnoteRef/>
      </w:r>
      <w:r w:rsidRPr="000275CD">
        <w:t xml:space="preserve"> </w:t>
      </w:r>
      <w:r w:rsidRPr="000275CD">
        <w:tab/>
        <w:t>Law 5253/2025; Greek Government (2026), p. 106; Commission Recommendation (EU) 2022/758 of 27 April 2022 on protecting journalists and human rights defenders who engage in public participation from manifestly unfounded or abusive court proceedings (‘Strategic lawsuits against public participation’).</w:t>
      </w:r>
    </w:p>
  </w:footnote>
  <w:footnote w:id="150">
    <w:p w14:paraId="153FBE58" w14:textId="317CD12E" w:rsidR="00E56DB0" w:rsidRDefault="00E56DB0">
      <w:pPr>
        <w:pStyle w:val="FootnoteText"/>
      </w:pPr>
      <w:r>
        <w:rPr>
          <w:rStyle w:val="FootnoteReference"/>
        </w:rPr>
        <w:footnoteRef/>
      </w:r>
      <w:r>
        <w:tab/>
      </w:r>
      <w:r>
        <w:rPr>
          <w:lang w:val="en-US"/>
        </w:rPr>
        <w:t>Greek Government (2026c).</w:t>
      </w:r>
      <w:r>
        <w:tab/>
      </w:r>
    </w:p>
  </w:footnote>
  <w:footnote w:id="151">
    <w:p w14:paraId="56E008EB" w14:textId="7BAB0C7A" w:rsidR="00236562" w:rsidRDefault="00236562">
      <w:pPr>
        <w:pStyle w:val="FootnoteText"/>
      </w:pPr>
      <w:r>
        <w:rPr>
          <w:rStyle w:val="FootnoteReference"/>
        </w:rPr>
        <w:footnoteRef/>
      </w:r>
      <w:r>
        <w:tab/>
      </w:r>
      <w:r w:rsidR="0030788F">
        <w:t xml:space="preserve">Several proposals by different parties were also </w:t>
      </w:r>
      <w:r w:rsidR="004B7822" w:rsidRPr="004B7822">
        <w:t xml:space="preserve">submitted </w:t>
      </w:r>
      <w:r w:rsidR="0039631D" w:rsidRPr="004B7822">
        <w:t>in parallel</w:t>
      </w:r>
      <w:r w:rsidR="0030788F">
        <w:t>, as well as</w:t>
      </w:r>
      <w:r w:rsidR="0039631D" w:rsidRPr="004B7822">
        <w:t xml:space="preserve"> </w:t>
      </w:r>
      <w:r w:rsidR="00CD6687">
        <w:t>alternative amendments</w:t>
      </w:r>
      <w:r w:rsidR="004B7822" w:rsidRPr="004B7822">
        <w:t xml:space="preserve">, mainly through the </w:t>
      </w:r>
      <w:r w:rsidR="00CB6E80">
        <w:t>parliamentary committee.</w:t>
      </w:r>
    </w:p>
  </w:footnote>
  <w:footnote w:id="152">
    <w:p w14:paraId="408BFE8F" w14:textId="689F19D4" w:rsidR="00E82A42" w:rsidRDefault="00E82A42">
      <w:pPr>
        <w:pStyle w:val="FootnoteText"/>
      </w:pPr>
      <w:r>
        <w:rPr>
          <w:rStyle w:val="FootnoteReference"/>
        </w:rPr>
        <w:footnoteRef/>
      </w:r>
      <w:r>
        <w:tab/>
        <w:t>T</w:t>
      </w:r>
      <w:r w:rsidRPr="00113E08">
        <w:rPr>
          <w:lang w:eastAsia="en-GB"/>
        </w:rPr>
        <w:t>he current Parliament must approve the provisions to be revised in two separate plenary votes</w:t>
      </w:r>
      <w:r w:rsidR="003D7119">
        <w:rPr>
          <w:lang w:eastAsia="en-GB"/>
        </w:rPr>
        <w:t xml:space="preserve"> and the next </w:t>
      </w:r>
      <w:r w:rsidR="008E39E4">
        <w:rPr>
          <w:lang w:eastAsia="en-GB"/>
        </w:rPr>
        <w:t xml:space="preserve">Parliament, </w:t>
      </w:r>
      <w:r w:rsidR="00413C9C">
        <w:rPr>
          <w:lang w:eastAsia="en-GB"/>
        </w:rPr>
        <w:t>following general elections, completes the revision process</w:t>
      </w:r>
      <w:r>
        <w:rPr>
          <w:lang w:eastAsia="en-GB"/>
        </w:rPr>
        <w:t>.</w:t>
      </w:r>
      <w:r w:rsidRPr="00E82A42">
        <w:t xml:space="preserve"> </w:t>
      </w:r>
      <w:r>
        <w:t>Article 110 of the Greek Constitution.</w:t>
      </w:r>
    </w:p>
  </w:footnote>
  <w:footnote w:id="153">
    <w:p w14:paraId="20EFCDD1" w14:textId="6EDCA292" w:rsidR="00E51455" w:rsidRPr="000275CD" w:rsidRDefault="00E51455" w:rsidP="003970E8">
      <w:pPr>
        <w:pStyle w:val="FootnoteText"/>
      </w:pPr>
      <w:r w:rsidRPr="000275CD">
        <w:rPr>
          <w:rStyle w:val="FootnoteReference"/>
        </w:rPr>
        <w:footnoteRef/>
      </w:r>
      <w:r w:rsidRPr="000275CD">
        <w:t xml:space="preserve"> </w:t>
      </w:r>
      <w:r w:rsidRPr="000275CD">
        <w:tab/>
        <w:t>36 out of 40 public consultations (opengov.gr); Greek Government (2026</w:t>
      </w:r>
      <w:r w:rsidR="004D124E">
        <w:t>a</w:t>
      </w:r>
      <w:r w:rsidRPr="000275CD">
        <w:t xml:space="preserve">), written input, pp. 111-117. </w:t>
      </w:r>
    </w:p>
  </w:footnote>
  <w:footnote w:id="154">
    <w:p w14:paraId="2AB79E9F"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In the reporting period, 9% of the articles included in the published law were not submitted for public consultation (16.5% for 2024; 34% for the period 2020-2022). The </w:t>
      </w:r>
      <w:r w:rsidRPr="000275CD">
        <w:rPr>
          <w:lang w:eastAsia="fr-FR"/>
        </w:rPr>
        <w:t>Economic and Social Council proposed an additional consultation period when a bill submitted to Parliament differs from the version previously subject to public consultation. Economic and Social Council (2025b), p. 6.</w:t>
      </w:r>
    </w:p>
  </w:footnote>
  <w:footnote w:id="155">
    <w:p w14:paraId="614D0F7A" w14:textId="6A631D2D" w:rsidR="00E51455" w:rsidRPr="000275CD" w:rsidRDefault="00E51455" w:rsidP="003970E8">
      <w:pPr>
        <w:pStyle w:val="FootnoteText"/>
      </w:pPr>
      <w:r w:rsidRPr="000275CD">
        <w:rPr>
          <w:rStyle w:val="FootnoteReference"/>
        </w:rPr>
        <w:footnoteRef/>
      </w:r>
      <w:r w:rsidRPr="000275CD">
        <w:t xml:space="preserve"> </w:t>
      </w:r>
      <w:r w:rsidRPr="000275CD">
        <w:tab/>
        <w:t>During the reporting period, 29 (out of 36) amendments were submitted the day before the discussion in the Plenary (44 out of 48 in the 2025 Report). The average number of provisions per amendment dropped to 4 (4.5 between July 2024 and June 2025). See also, Plenary of Bar Associations (2026a); KEFIM (2026</w:t>
      </w:r>
      <w:r w:rsidR="0006163D">
        <w:t>a and 2026b</w:t>
      </w:r>
      <w:r w:rsidRPr="000275CD">
        <w:t>) and Civil Society (2026</w:t>
      </w:r>
      <w:r w:rsidR="00B931C8">
        <w:t>a</w:t>
      </w:r>
      <w:r w:rsidRPr="000275CD">
        <w:t>), pp.</w:t>
      </w:r>
      <w:r w:rsidR="009A3A44">
        <w:t xml:space="preserve"> </w:t>
      </w:r>
      <w:r w:rsidRPr="000275CD">
        <w:t>61-62.</w:t>
      </w:r>
    </w:p>
  </w:footnote>
  <w:footnote w:id="156">
    <w:p w14:paraId="6457B3BA"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European Semester 2026, Greece, pp. 12 and 67-68. </w:t>
      </w:r>
    </w:p>
  </w:footnote>
  <w:footnote w:id="157">
    <w:p w14:paraId="1396E2CE" w14:textId="5097D0FA" w:rsidR="00E51455" w:rsidRPr="000275CD" w:rsidRDefault="00E51455" w:rsidP="003970E8">
      <w:pPr>
        <w:pStyle w:val="FootnoteText"/>
      </w:pPr>
      <w:r w:rsidRPr="000275CD">
        <w:rPr>
          <w:rStyle w:val="FootnoteReference"/>
        </w:rPr>
        <w:footnoteRef/>
      </w:r>
      <w:r w:rsidRPr="000275CD">
        <w:t xml:space="preserve"> </w:t>
      </w:r>
      <w:r w:rsidRPr="000275CD">
        <w:tab/>
        <w:t>OECD (2025), pp. 152-153; Greek Government (2026</w:t>
      </w:r>
      <w:r w:rsidR="005F1FF7">
        <w:t>b</w:t>
      </w:r>
      <w:r w:rsidRPr="000275CD">
        <w:t>), p. 11; ENNRHI (2026), p. 31.</w:t>
      </w:r>
    </w:p>
  </w:footnote>
  <w:footnote w:id="158">
    <w:p w14:paraId="1E87B275" w14:textId="764A8108" w:rsidR="00E51455" w:rsidRPr="000275CD" w:rsidRDefault="00E51455" w:rsidP="003970E8">
      <w:pPr>
        <w:pStyle w:val="FootnoteText"/>
      </w:pPr>
      <w:r w:rsidRPr="000275CD">
        <w:rPr>
          <w:rStyle w:val="FootnoteReference"/>
        </w:rPr>
        <w:footnoteRef/>
      </w:r>
      <w:r w:rsidRPr="000275CD">
        <w:t xml:space="preserve"> </w:t>
      </w:r>
      <w:r w:rsidRPr="000275CD">
        <w:tab/>
        <w:t xml:space="preserve">Often lacking </w:t>
      </w:r>
      <w:r w:rsidRPr="000275CD">
        <w:rPr>
          <w:lang w:eastAsia="fr-FR"/>
        </w:rPr>
        <w:t>such an analysis for most of the consultation period. Economic and Social Council (2025a), pp. 7-8. Civil Society (2026</w:t>
      </w:r>
      <w:r w:rsidR="00B931C8">
        <w:rPr>
          <w:lang w:eastAsia="fr-FR"/>
        </w:rPr>
        <w:t>a</w:t>
      </w:r>
      <w:r w:rsidRPr="000275CD">
        <w:rPr>
          <w:lang w:eastAsia="fr-FR"/>
        </w:rPr>
        <w:t>), p.</w:t>
      </w:r>
      <w:r w:rsidR="00AF36EF">
        <w:rPr>
          <w:lang w:eastAsia="fr-FR"/>
        </w:rPr>
        <w:t xml:space="preserve"> </w:t>
      </w:r>
      <w:r w:rsidRPr="000275CD">
        <w:rPr>
          <w:lang w:eastAsia="fr-FR"/>
        </w:rPr>
        <w:t>59.</w:t>
      </w:r>
    </w:p>
  </w:footnote>
  <w:footnote w:id="159">
    <w:p w14:paraId="56D60021" w14:textId="525228E0"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w:t>
      </w:r>
      <w:r w:rsidRPr="00B931C8">
        <w:t xml:space="preserve">Greece, Ombudsman, DPA, NCHR, </w:t>
      </w:r>
      <w:r w:rsidR="00B931C8" w:rsidRPr="00B931C8">
        <w:t xml:space="preserve">Greek </w:t>
      </w:r>
      <w:r w:rsidRPr="00B931C8">
        <w:t>Bar Association</w:t>
      </w:r>
      <w:r w:rsidR="00B931C8" w:rsidRPr="00B931C8">
        <w:t>s</w:t>
      </w:r>
      <w:r w:rsidRPr="00B931C8">
        <w:t xml:space="preserve">, </w:t>
      </w:r>
      <w:r w:rsidR="00B931C8" w:rsidRPr="00B931C8">
        <w:t>Judicial</w:t>
      </w:r>
      <w:r w:rsidRPr="00B931C8">
        <w:rPr>
          <w:rFonts w:eastAsiaTheme="minorHAnsi" w:cstheme="minorBidi"/>
          <w:lang w:val="en-US" w:eastAsia="en-US"/>
        </w:rPr>
        <w:t xml:space="preserve"> associations</w:t>
      </w:r>
      <w:r w:rsidR="005F1FF7">
        <w:rPr>
          <w:rFonts w:eastAsiaTheme="minorHAnsi" w:cstheme="minorBidi"/>
          <w:lang w:val="en-US" w:eastAsia="en-US"/>
        </w:rPr>
        <w:t xml:space="preserve"> and</w:t>
      </w:r>
      <w:r w:rsidRPr="00B931C8">
        <w:rPr>
          <w:rFonts w:eastAsiaTheme="minorHAnsi" w:cstheme="minorBidi"/>
          <w:lang w:val="en-US" w:eastAsia="en-US"/>
        </w:rPr>
        <w:t xml:space="preserve"> Business associations.</w:t>
      </w:r>
    </w:p>
  </w:footnote>
  <w:footnote w:id="160">
    <w:p w14:paraId="6ACFD2B8" w14:textId="38C3A766"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bCs/>
        </w:rPr>
        <w:t>Greek Government (2026</w:t>
      </w:r>
      <w:r w:rsidR="005F1FF7">
        <w:rPr>
          <w:bCs/>
        </w:rPr>
        <w:t>a</w:t>
      </w:r>
      <w:r w:rsidRPr="000275CD">
        <w:rPr>
          <w:bCs/>
        </w:rPr>
        <w:t xml:space="preserve">), </w:t>
      </w:r>
      <w:r w:rsidRPr="000275CD">
        <w:t xml:space="preserve">written </w:t>
      </w:r>
      <w:r w:rsidRPr="000275CD">
        <w:rPr>
          <w:bCs/>
        </w:rPr>
        <w:t xml:space="preserve">input, </w:t>
      </w:r>
      <w:r w:rsidRPr="000275CD">
        <w:t>pp. 113-114.</w:t>
      </w:r>
      <w:r w:rsidRPr="000275CD">
        <w:rPr>
          <w:bCs/>
        </w:rPr>
        <w:t xml:space="preserve"> </w:t>
      </w:r>
      <w:r w:rsidRPr="000275CD">
        <w:t xml:space="preserve"> </w:t>
      </w:r>
    </w:p>
  </w:footnote>
  <w:footnote w:id="161">
    <w:p w14:paraId="41D3C9CA"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At least 15 laws enacted in 2025 included provisions amending legislation adopted the same year. Since July 2025, the Code of Civil Procedure has been modified several times with further extensive changes introduced in February 2026 to correct shortcomings and supplement the provisions of Law 5221/2025. </w:t>
      </w:r>
    </w:p>
  </w:footnote>
  <w:footnote w:id="162">
    <w:p w14:paraId="74F1286A" w14:textId="77777777" w:rsidR="00E51455" w:rsidRPr="000275CD" w:rsidRDefault="00E51455" w:rsidP="003970E8">
      <w:pPr>
        <w:pStyle w:val="FootnoteText"/>
      </w:pPr>
      <w:r w:rsidRPr="000275CD">
        <w:rPr>
          <w:rStyle w:val="FootnoteReference"/>
        </w:rPr>
        <w:footnoteRef/>
      </w:r>
      <w:r w:rsidRPr="000275CD">
        <w:t xml:space="preserve"> </w:t>
      </w:r>
      <w:r w:rsidRPr="000275CD">
        <w:tab/>
        <w:t>Figure 53, 2026 EU Justice Scoreboard. 40% of the surveyed investors referred to frequent changes in legislation (58% in 2025).</w:t>
      </w:r>
    </w:p>
  </w:footnote>
  <w:footnote w:id="163">
    <w:p w14:paraId="62A86923" w14:textId="16A06858" w:rsidR="00E51455" w:rsidRPr="000275CD" w:rsidRDefault="00E51455" w:rsidP="003970E8">
      <w:pPr>
        <w:pStyle w:val="FootnoteText"/>
      </w:pPr>
      <w:r w:rsidRPr="000275CD">
        <w:rPr>
          <w:rStyle w:val="FootnoteReference"/>
        </w:rPr>
        <w:footnoteRef/>
      </w:r>
      <w:r w:rsidRPr="000275CD">
        <w:t xml:space="preserve"> </w:t>
      </w:r>
      <w:r w:rsidRPr="000275CD">
        <w:tab/>
        <w:t xml:space="preserve">Country visit Greece, </w:t>
      </w:r>
      <w:r w:rsidRPr="00945D61">
        <w:t xml:space="preserve">Supreme Court, Council of State, </w:t>
      </w:r>
      <w:r w:rsidRPr="00945D61">
        <w:rPr>
          <w:rFonts w:eastAsiaTheme="minorHAnsi" w:cstheme="minorBidi"/>
          <w:lang w:val="en-US" w:eastAsia="en-US"/>
        </w:rPr>
        <w:t>J</w:t>
      </w:r>
      <w:r w:rsidR="001E39E1" w:rsidRPr="00945D61">
        <w:rPr>
          <w:rFonts w:eastAsiaTheme="minorHAnsi" w:cstheme="minorBidi"/>
          <w:lang w:val="en-US" w:eastAsia="en-US"/>
        </w:rPr>
        <w:t>udicial</w:t>
      </w:r>
      <w:r w:rsidRPr="00945D61">
        <w:rPr>
          <w:rFonts w:eastAsiaTheme="minorHAnsi" w:cstheme="minorBidi"/>
          <w:lang w:val="en-US" w:eastAsia="en-US"/>
        </w:rPr>
        <w:t xml:space="preserve"> associations</w:t>
      </w:r>
      <w:r w:rsidRPr="00945D61">
        <w:t xml:space="preserve">, </w:t>
      </w:r>
      <w:r w:rsidR="00D4651E" w:rsidRPr="00945D61">
        <w:t xml:space="preserve">Greek </w:t>
      </w:r>
      <w:r w:rsidRPr="00945D61">
        <w:t xml:space="preserve">Bar </w:t>
      </w:r>
      <w:r w:rsidR="00D4651E" w:rsidRPr="00945D61">
        <w:t>Associations</w:t>
      </w:r>
      <w:r w:rsidR="005F1FF7">
        <w:t xml:space="preserve"> and</w:t>
      </w:r>
      <w:r w:rsidRPr="00945D61">
        <w:t xml:space="preserve"> Association of </w:t>
      </w:r>
      <w:r w:rsidR="00D4651E" w:rsidRPr="00945D61">
        <w:t>Notaries</w:t>
      </w:r>
      <w:r w:rsidRPr="00945D61">
        <w:t>.</w:t>
      </w:r>
      <w:r w:rsidRPr="000275CD">
        <w:t xml:space="preserve"> </w:t>
      </w:r>
    </w:p>
  </w:footnote>
  <w:footnote w:id="164">
    <w:p w14:paraId="71D63CA7" w14:textId="775B7AF8" w:rsidR="00E51455" w:rsidRPr="000275CD" w:rsidRDefault="00E51455" w:rsidP="003970E8">
      <w:pPr>
        <w:pStyle w:val="FootnoteText"/>
      </w:pPr>
      <w:r w:rsidRPr="000275CD">
        <w:rPr>
          <w:rStyle w:val="FootnoteReference"/>
        </w:rPr>
        <w:footnoteRef/>
      </w:r>
      <w:r w:rsidRPr="000275CD">
        <w:t xml:space="preserve"> </w:t>
      </w:r>
      <w:r w:rsidRPr="000275CD">
        <w:tab/>
        <w:t>The portal was set to launch by early 2025, but its development has faced technical difficulties due to the large, fragmented body of laws, and the need to ensure that the texts are accurate and up to date; Greek Government (2026</w:t>
      </w:r>
      <w:r w:rsidR="005F1FF7">
        <w:t>b</w:t>
      </w:r>
      <w:r w:rsidRPr="000275CD">
        <w:t xml:space="preserve">), additional input, pp. 40-4; 2024 Rule of Law Report, Greece, p. 25. </w:t>
      </w:r>
    </w:p>
  </w:footnote>
  <w:footnote w:id="165">
    <w:p w14:paraId="3F1D3718" w14:textId="4EE3384C" w:rsidR="00084946" w:rsidRDefault="00084946">
      <w:pPr>
        <w:pStyle w:val="FootnoteText"/>
      </w:pPr>
      <w:r>
        <w:rPr>
          <w:rStyle w:val="FootnoteReference"/>
        </w:rPr>
        <w:footnoteRef/>
      </w:r>
      <w:r>
        <w:tab/>
      </w:r>
      <w:r w:rsidR="00400D91">
        <w:t>Greek Government (2026c).</w:t>
      </w:r>
    </w:p>
  </w:footnote>
  <w:footnote w:id="166">
    <w:p w14:paraId="42E1C3CF" w14:textId="77777777" w:rsidR="00E51455" w:rsidRPr="000275CD" w:rsidRDefault="00E51455" w:rsidP="00945D61">
      <w:pPr>
        <w:pStyle w:val="FootnoteText"/>
      </w:pPr>
      <w:r w:rsidRPr="000275CD">
        <w:rPr>
          <w:rStyle w:val="FootnoteReference"/>
        </w:rPr>
        <w:footnoteRef/>
      </w:r>
      <w:r w:rsidRPr="000275CD">
        <w:t xml:space="preserve"> </w:t>
      </w:r>
      <w:r w:rsidRPr="000275CD">
        <w:tab/>
        <w:t xml:space="preserve">Figures 52, 53 and 60, 2026 EU Justice Scoreboard. </w:t>
      </w:r>
    </w:p>
  </w:footnote>
  <w:footnote w:id="167">
    <w:p w14:paraId="6A21C0D3" w14:textId="15169305" w:rsidR="00E51455" w:rsidRPr="003970E8" w:rsidRDefault="00E51455" w:rsidP="003970E8">
      <w:pPr>
        <w:pStyle w:val="FootnoteText"/>
      </w:pPr>
      <w:r w:rsidRPr="005A034B">
        <w:rPr>
          <w:rStyle w:val="FootnoteReference"/>
        </w:rPr>
        <w:footnoteRef/>
      </w:r>
      <w:r w:rsidRPr="00E84940">
        <w:t xml:space="preserve"> </w:t>
      </w:r>
      <w:r w:rsidR="003970E8">
        <w:tab/>
      </w:r>
      <w:r w:rsidRPr="003970E8">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8">
    <w:p w14:paraId="2BEF5CAF" w14:textId="175C9C0A" w:rsidR="00E51455" w:rsidRPr="00E84940" w:rsidRDefault="00E51455" w:rsidP="003970E8">
      <w:pPr>
        <w:pStyle w:val="FootnoteText"/>
      </w:pPr>
      <w:r w:rsidRPr="00ED6142">
        <w:rPr>
          <w:rStyle w:val="FootnoteReference"/>
        </w:rPr>
        <w:footnoteRef/>
      </w:r>
      <w:r w:rsidRPr="00ED6142">
        <w:rPr>
          <w:rStyle w:val="FootnoteReference"/>
        </w:rPr>
        <w:t xml:space="preserve"> </w:t>
      </w:r>
      <w:r w:rsidR="00435598">
        <w:tab/>
      </w:r>
      <w:r w:rsidRPr="00E84940">
        <w:t>Law 3068/2002. A three-member council in the issuing jurisdiction reviews, upon request by the affected party, if the administration has complied with the judicial decision and, if not, sets a deadline for compliance.</w:t>
      </w:r>
    </w:p>
  </w:footnote>
  <w:footnote w:id="169">
    <w:p w14:paraId="18C36CFC" w14:textId="56DADCDC" w:rsidR="00E51455" w:rsidRPr="00E84940" w:rsidRDefault="00E51455" w:rsidP="003970E8">
      <w:pPr>
        <w:pStyle w:val="FootnoteText"/>
      </w:pPr>
      <w:r w:rsidRPr="00ED6142">
        <w:rPr>
          <w:rStyle w:val="FootnoteReference"/>
        </w:rPr>
        <w:footnoteRef/>
      </w:r>
      <w:r w:rsidR="00147E3B" w:rsidRPr="00E84940">
        <w:t xml:space="preserve"> </w:t>
      </w:r>
      <w:r w:rsidR="00435598">
        <w:tab/>
      </w:r>
      <w:r w:rsidRPr="009D4C71">
        <w:rPr>
          <w:i/>
          <w:iCs/>
        </w:rPr>
        <w:t>Kanellopoulos v. Greece</w:t>
      </w:r>
      <w:r w:rsidRPr="00ED6142">
        <w:t xml:space="preserve">, </w:t>
      </w:r>
      <w:r w:rsidRPr="00E84940">
        <w:t xml:space="preserve">application 11325/06 (leading case under supervision at the Committee of Ministers of the Council of Europe); </w:t>
      </w:r>
      <w:r w:rsidRPr="00ED6142">
        <w:t>Meletiou and Others v. Greece</w:t>
      </w:r>
      <w:r w:rsidRPr="00E84940">
        <w:t xml:space="preserve">, application 28737/23 and </w:t>
      </w:r>
      <w:r w:rsidRPr="00ED6142">
        <w:t>Dervisis and Others v. Greece</w:t>
      </w:r>
      <w:r w:rsidRPr="00E84940">
        <w:t>, application 55398/20.</w:t>
      </w:r>
    </w:p>
  </w:footnote>
  <w:footnote w:id="170">
    <w:p w14:paraId="1C38B6FF" w14:textId="2557CABA" w:rsidR="00E51455" w:rsidRPr="00E84940" w:rsidRDefault="00E51455" w:rsidP="003970E8">
      <w:pPr>
        <w:pStyle w:val="FootnoteText"/>
      </w:pPr>
      <w:r w:rsidRPr="00ED6142">
        <w:rPr>
          <w:rStyle w:val="FootnoteReference"/>
        </w:rPr>
        <w:footnoteRef/>
      </w:r>
      <w:r w:rsidRPr="00E84940">
        <w:t xml:space="preserve"> </w:t>
      </w:r>
      <w:r w:rsidR="00435598">
        <w:tab/>
      </w:r>
      <w:r w:rsidRPr="00E84940">
        <w:t>Internal audit units under Law 4975/2021 are independent bodies within public entities that assess the legality, efficiency and transparency of their operations.</w:t>
      </w:r>
    </w:p>
  </w:footnote>
  <w:footnote w:id="171">
    <w:p w14:paraId="354C449C" w14:textId="652DA747" w:rsidR="006A417C" w:rsidRPr="00604148" w:rsidRDefault="006A417C">
      <w:pPr>
        <w:pStyle w:val="FootnoteText"/>
      </w:pPr>
      <w:r w:rsidRPr="00604148">
        <w:rPr>
          <w:rStyle w:val="FootnoteReference"/>
        </w:rPr>
        <w:footnoteRef/>
      </w:r>
      <w:r w:rsidRPr="00604148">
        <w:tab/>
      </w:r>
      <w:r w:rsidR="00937EFC" w:rsidRPr="00604148">
        <w:t xml:space="preserve">The reform abolished the </w:t>
      </w:r>
      <w:r w:rsidR="00BE4357" w:rsidRPr="00604148">
        <w:t>special short statute of limitations for ministers’ criminal liability, aligning prosecution deadlines with the ordinary criminal law, while retaining Parliament’s role in investigating and authorising prosecution.</w:t>
      </w:r>
    </w:p>
  </w:footnote>
  <w:footnote w:id="172">
    <w:p w14:paraId="46D117FF" w14:textId="18AB570B" w:rsidR="00E51455" w:rsidRPr="00E84940" w:rsidRDefault="00E51455" w:rsidP="003970E8">
      <w:pPr>
        <w:pStyle w:val="FootnoteText"/>
      </w:pPr>
      <w:r w:rsidRPr="00604148">
        <w:rPr>
          <w:rStyle w:val="FootnoteReference"/>
        </w:rPr>
        <w:footnoteRef/>
      </w:r>
      <w:r w:rsidRPr="00604148">
        <w:t xml:space="preserve"> </w:t>
      </w:r>
      <w:r w:rsidR="00435598" w:rsidRPr="00604148">
        <w:tab/>
      </w:r>
      <w:r w:rsidRPr="00604148">
        <w:t>Country visit Greece, Ministry</w:t>
      </w:r>
      <w:r w:rsidRPr="00E84940">
        <w:t xml:space="preserve"> of Justice, </w:t>
      </w:r>
      <w:r w:rsidR="009A6334">
        <w:t>Greek</w:t>
      </w:r>
      <w:r w:rsidR="009A6334" w:rsidRPr="00E84940">
        <w:t xml:space="preserve"> </w:t>
      </w:r>
      <w:r w:rsidRPr="00E84940">
        <w:t>Bar Association</w:t>
      </w:r>
      <w:r w:rsidR="00ED6142">
        <w:t>s</w:t>
      </w:r>
      <w:r w:rsidRPr="00E84940">
        <w:t xml:space="preserve">, </w:t>
      </w:r>
      <w:r w:rsidR="00945D61">
        <w:t xml:space="preserve">Judicial </w:t>
      </w:r>
      <w:r w:rsidR="00945D61" w:rsidRPr="00C402D1">
        <w:t>a</w:t>
      </w:r>
      <w:r w:rsidRPr="00C402D1">
        <w:t>ssociations,</w:t>
      </w:r>
      <w:r w:rsidRPr="00E84940">
        <w:t xml:space="preserve"> Court of Audit</w:t>
      </w:r>
      <w:r w:rsidR="00F73E15">
        <w:t xml:space="preserve"> and</w:t>
      </w:r>
      <w:r w:rsidRPr="00E84940">
        <w:t xml:space="preserve"> Civil Society</w:t>
      </w:r>
      <w:r w:rsidR="00C402D1">
        <w:t xml:space="preserve"> Organisations</w:t>
      </w:r>
      <w:r w:rsidRPr="00E84940">
        <w:t>; Greek Government (2026</w:t>
      </w:r>
      <w:r w:rsidR="00F73E15">
        <w:t>a</w:t>
      </w:r>
      <w:r w:rsidRPr="00E84940">
        <w:t>), written input, pp. 136.</w:t>
      </w:r>
    </w:p>
  </w:footnote>
  <w:footnote w:id="173">
    <w:p w14:paraId="528888F3" w14:textId="5B09C223" w:rsidR="00D176DD" w:rsidRPr="00E84940" w:rsidRDefault="00D176DD" w:rsidP="00D176DD">
      <w:pPr>
        <w:pStyle w:val="FootnoteText"/>
      </w:pPr>
      <w:r w:rsidRPr="00ED6142">
        <w:rPr>
          <w:rStyle w:val="FootnoteReference"/>
        </w:rPr>
        <w:footnoteRef/>
      </w:r>
      <w:r w:rsidRPr="00E84940">
        <w:t xml:space="preserve"> </w:t>
      </w:r>
      <w:r>
        <w:tab/>
      </w:r>
      <w:r w:rsidRPr="00E84940">
        <w:t>Country visit Greece, prosecutors</w:t>
      </w:r>
      <w:r w:rsidR="00440668">
        <w:t xml:space="preserve">; </w:t>
      </w:r>
      <w:r w:rsidR="00440668" w:rsidRPr="005D0D7B">
        <w:t>Greek Government (2026b), p</w:t>
      </w:r>
      <w:r w:rsidRPr="005D0D7B">
        <w:t>.</w:t>
      </w:r>
      <w:r w:rsidR="00A6291A" w:rsidRPr="005D0D7B">
        <w:t xml:space="preserve"> 23</w:t>
      </w:r>
      <w:r w:rsidR="00A6291A">
        <w:t>;</w:t>
      </w:r>
      <w:r w:rsidRPr="00E84940">
        <w:t xml:space="preserve"> EPPO (2026), written input, p. 19. European Chief Public Prosecutor, press conference, Athens, October 2025. </w:t>
      </w:r>
      <w:r w:rsidRPr="00ED6142">
        <w:t>In late July 2025,</w:t>
      </w:r>
      <w:r w:rsidRPr="00E84940">
        <w:t xml:space="preserve"> following</w:t>
      </w:r>
      <w:r w:rsidRPr="00ED6142">
        <w:t xml:space="preserve"> the transfer of information by the European Public Prosecutor’s Office (EPPO), Parliament rejected proposals to initiate a formal investigation into two former ministers for alleged criminal offences related to the misuse of EU agricultural funds. In April 2026, another transfer of cases relating to agricultural subsidies</w:t>
      </w:r>
      <w:r w:rsidRPr="00E84940">
        <w:t xml:space="preserve"> included information on two former Members of Government, with the </w:t>
      </w:r>
      <w:r w:rsidRPr="00ED6142">
        <w:t>Parliament</w:t>
      </w:r>
      <w:r w:rsidRPr="00E84940">
        <w:t xml:space="preserve"> rejecting in May 2026</w:t>
      </w:r>
      <w:r w:rsidRPr="00ED6142">
        <w:t xml:space="preserve"> requests for a parliamentary investigation into</w:t>
      </w:r>
      <w:r w:rsidRPr="00E84940">
        <w:t xml:space="preserve"> possible criminal liability.</w:t>
      </w:r>
    </w:p>
  </w:footnote>
  <w:footnote w:id="174">
    <w:p w14:paraId="5E9276CA" w14:textId="5AE57623" w:rsidR="00E51455" w:rsidRPr="00E84940" w:rsidRDefault="00E51455" w:rsidP="003970E8">
      <w:pPr>
        <w:pStyle w:val="FootnoteText"/>
      </w:pPr>
      <w:r w:rsidRPr="00ED6142">
        <w:rPr>
          <w:rStyle w:val="FootnoteReference"/>
        </w:rPr>
        <w:footnoteRef/>
      </w:r>
      <w:r w:rsidRPr="00ED6142">
        <w:rPr>
          <w:rStyle w:val="FootnoteReference"/>
        </w:rPr>
        <w:t xml:space="preserve"> </w:t>
      </w:r>
      <w:r w:rsidR="00435598">
        <w:tab/>
      </w:r>
      <w:r w:rsidR="00BD65AE">
        <w:t>Greek Government (2026c)</w:t>
      </w:r>
      <w:r w:rsidRPr="00E84940">
        <w:t>.</w:t>
      </w:r>
    </w:p>
  </w:footnote>
  <w:footnote w:id="175">
    <w:p w14:paraId="4DB27727" w14:textId="77777777" w:rsidR="00E51455" w:rsidRPr="00F73E15" w:rsidRDefault="00E51455" w:rsidP="003970E8">
      <w:pPr>
        <w:pStyle w:val="FootnoteText"/>
      </w:pPr>
      <w:r w:rsidRPr="000275CD">
        <w:rPr>
          <w:rStyle w:val="FootnoteReference"/>
        </w:rPr>
        <w:footnoteRef/>
      </w:r>
      <w:r w:rsidRPr="000275CD">
        <w:t xml:space="preserve"> </w:t>
      </w:r>
      <w:r w:rsidRPr="000275CD">
        <w:tab/>
        <w:t xml:space="preserve">The court ruled that the Predator software was used in 87 substantiated cases to target individuals, including politicians, journalists, military personnel, and </w:t>
      </w:r>
      <w:r w:rsidRPr="00F73E15">
        <w:t xml:space="preserve">business leaders. 2025 Rule of Law Report, Greece, p. 14. </w:t>
      </w:r>
    </w:p>
  </w:footnote>
  <w:footnote w:id="176">
    <w:p w14:paraId="5291F39A" w14:textId="1F17DE48" w:rsidR="00E51455" w:rsidRPr="00F73E15" w:rsidRDefault="00E51455" w:rsidP="003970E8">
      <w:pPr>
        <w:pStyle w:val="FootnoteText"/>
      </w:pPr>
      <w:r w:rsidRPr="00F73E15">
        <w:rPr>
          <w:rStyle w:val="FootnoteReference"/>
        </w:rPr>
        <w:footnoteRef/>
      </w:r>
      <w:r w:rsidRPr="00F73E15">
        <w:tab/>
        <w:t>Civil Society</w:t>
      </w:r>
      <w:r w:rsidR="004A4198" w:rsidRPr="00F73E15">
        <w:t xml:space="preserve"> (2026a);</w:t>
      </w:r>
      <w:r w:rsidRPr="00F73E15">
        <w:t xml:space="preserve"> International Press Institute, </w:t>
      </w:r>
      <w:r w:rsidRPr="00F73E15">
        <w:rPr>
          <w:rFonts w:eastAsiaTheme="minorHAnsi" w:cstheme="minorBidi"/>
          <w:lang w:val="en-US" w:eastAsia="en-US"/>
        </w:rPr>
        <w:t>RSF</w:t>
      </w:r>
      <w:r w:rsidRPr="00F73E15">
        <w:t xml:space="preserve">, CCBE, </w:t>
      </w:r>
      <w:r w:rsidRPr="00F73E15">
        <w:rPr>
          <w:rFonts w:eastAsiaTheme="minorHAnsi" w:cstheme="minorBidi"/>
          <w:lang w:val="en-US" w:eastAsia="en-US"/>
        </w:rPr>
        <w:t>FRA</w:t>
      </w:r>
      <w:r w:rsidRPr="00F73E15">
        <w:t xml:space="preserve"> (2026), written inputs, pp. 16-17, 19, 17, 122 and </w:t>
      </w:r>
      <w:r w:rsidR="0048534D" w:rsidRPr="00F73E15">
        <w:t>106</w:t>
      </w:r>
      <w:r w:rsidR="00F73E15">
        <w:t xml:space="preserve"> respectively</w:t>
      </w:r>
      <w:r w:rsidRPr="00F73E15">
        <w:t xml:space="preserve">. Country visit Greece, </w:t>
      </w:r>
      <w:r w:rsidR="002F7E02" w:rsidRPr="00F73E15">
        <w:rPr>
          <w:rFonts w:eastAsiaTheme="minorHAnsi" w:cstheme="minorBidi"/>
          <w:lang w:val="en-US" w:eastAsia="en-US"/>
        </w:rPr>
        <w:t>journalists</w:t>
      </w:r>
      <w:r w:rsidRPr="00F73E15">
        <w:t xml:space="preserve">, </w:t>
      </w:r>
      <w:r w:rsidR="002F7E02" w:rsidRPr="00F73E15">
        <w:t>Greek</w:t>
      </w:r>
      <w:r w:rsidRPr="00F73E15">
        <w:t xml:space="preserve"> Bar Association</w:t>
      </w:r>
      <w:r w:rsidR="002F7E02" w:rsidRPr="00F73E15">
        <w:t>s</w:t>
      </w:r>
      <w:r w:rsidRPr="00F73E15">
        <w:t xml:space="preserve"> and NCHR.</w:t>
      </w:r>
    </w:p>
  </w:footnote>
  <w:footnote w:id="177">
    <w:p w14:paraId="443B2C05" w14:textId="39A1792D" w:rsidR="00E51455" w:rsidRPr="000275CD" w:rsidRDefault="00E51455" w:rsidP="003970E8">
      <w:pPr>
        <w:pStyle w:val="FootnoteText"/>
      </w:pPr>
      <w:r w:rsidRPr="00F73E15">
        <w:rPr>
          <w:rStyle w:val="FootnoteReference"/>
        </w:rPr>
        <w:footnoteRef/>
      </w:r>
      <w:r w:rsidRPr="00F73E15">
        <w:t xml:space="preserve"> </w:t>
      </w:r>
      <w:r w:rsidRPr="00F73E15">
        <w:tab/>
        <w:t>The Plenary of the Bar Associations called for the resignation</w:t>
      </w:r>
      <w:r w:rsidRPr="000275CD">
        <w:t xml:space="preserve"> of the General Prosecutor, Plenary of Bar Associations (2026c) and (2026d)</w:t>
      </w:r>
      <w:r w:rsidRPr="000275CD">
        <w:rPr>
          <w:lang w:eastAsia="fr-FR"/>
        </w:rPr>
        <w:t>. Civil Society (</w:t>
      </w:r>
      <w:r w:rsidR="004A4198" w:rsidRPr="000275CD">
        <w:rPr>
          <w:lang w:eastAsia="fr-FR"/>
        </w:rPr>
        <w:t>2026</w:t>
      </w:r>
      <w:r w:rsidR="000E7FCA">
        <w:rPr>
          <w:lang w:eastAsia="fr-FR"/>
        </w:rPr>
        <w:t>c</w:t>
      </w:r>
      <w:r w:rsidRPr="000275CD">
        <w:rPr>
          <w:lang w:eastAsia="fr-FR"/>
        </w:rPr>
        <w:t>), pp. 2-3.</w:t>
      </w:r>
    </w:p>
  </w:footnote>
  <w:footnote w:id="178">
    <w:p w14:paraId="2D1483D3" w14:textId="77777777" w:rsidR="00E51455" w:rsidRPr="000275CD" w:rsidRDefault="00E51455" w:rsidP="003970E8">
      <w:pPr>
        <w:pStyle w:val="FootnoteText"/>
      </w:pPr>
      <w:r w:rsidRPr="000275CD">
        <w:rPr>
          <w:rStyle w:val="FootnoteReference"/>
        </w:rPr>
        <w:footnoteRef/>
      </w:r>
      <w:r w:rsidRPr="000275CD">
        <w:t xml:space="preserve"> </w:t>
      </w:r>
      <w:r w:rsidRPr="000275CD">
        <w:tab/>
        <w:t>The case concerns a journalist’s request for disclosure of the reasons for his surveillance by the National Intelligence Service, with the Council of State ordering the submission of the interception file in May 2026.</w:t>
      </w:r>
    </w:p>
  </w:footnote>
  <w:footnote w:id="179">
    <w:p w14:paraId="0711FE7D" w14:textId="7D2105E3"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i/>
          <w:iCs/>
        </w:rPr>
        <w:t>Androulakis v. Greece</w:t>
      </w:r>
      <w:r w:rsidRPr="000275CD">
        <w:t xml:space="preserve">, no 20986/24 relating to the phone interception of a Greek Member of the European Parliament by the National Intelligence Service and its </w:t>
      </w:r>
      <w:r w:rsidR="00472741">
        <w:t xml:space="preserve">alleged </w:t>
      </w:r>
      <w:r w:rsidRPr="000275CD">
        <w:t>refusal to disclose the reasons for the surveillance.</w:t>
      </w:r>
    </w:p>
  </w:footnote>
  <w:footnote w:id="180">
    <w:p w14:paraId="585CA3CD" w14:textId="68BE6921" w:rsidR="00E51455" w:rsidRPr="000275CD" w:rsidRDefault="00E51455" w:rsidP="003970E8">
      <w:pPr>
        <w:pStyle w:val="FootnoteText"/>
      </w:pPr>
      <w:r w:rsidRPr="000275CD">
        <w:rPr>
          <w:rStyle w:val="FootnoteReference"/>
        </w:rPr>
        <w:footnoteRef/>
      </w:r>
      <w:r w:rsidRPr="000275CD">
        <w:t xml:space="preserve"> </w:t>
      </w:r>
      <w:r w:rsidRPr="000275CD">
        <w:tab/>
      </w:r>
      <w:bookmarkStart w:id="29" w:name="_Hlk221721590"/>
      <w:r w:rsidRPr="000275CD">
        <w:rPr>
          <w:lang w:eastAsia="fr-FR"/>
        </w:rPr>
        <w:t>The appointments of a new Ombudsperson, the President and three members of the Data Protection Authority (DPA) (expired in 2022), the President of the Authority for Communication Security and Privacy (ADAE),</w:t>
      </w:r>
      <w:bookmarkEnd w:id="29"/>
      <w:r w:rsidRPr="000275CD">
        <w:rPr>
          <w:lang w:eastAsia="fr-FR"/>
        </w:rPr>
        <w:t xml:space="preserve"> two Vice-Presidents and seven members of the </w:t>
      </w:r>
      <w:r w:rsidRPr="000275CD">
        <w:t>Supreme Council for Civil Personnel Selection</w:t>
      </w:r>
      <w:r w:rsidRPr="000275CD">
        <w:rPr>
          <w:lang w:eastAsia="fr-FR"/>
        </w:rPr>
        <w:t xml:space="preserve"> (ASEP) (expired in 2025). See also, 2025 Rule of Law Report, Greece, pp.</w:t>
      </w:r>
      <w:r w:rsidR="00207171">
        <w:rPr>
          <w:lang w:eastAsia="fr-FR"/>
        </w:rPr>
        <w:t xml:space="preserve"> </w:t>
      </w:r>
      <w:r w:rsidRPr="000275CD">
        <w:rPr>
          <w:lang w:eastAsia="fr-FR"/>
        </w:rPr>
        <w:t xml:space="preserve">18-19.  </w:t>
      </w:r>
    </w:p>
  </w:footnote>
  <w:footnote w:id="181">
    <w:p w14:paraId="7504D79F" w14:textId="77777777" w:rsidR="00E51455" w:rsidRPr="000275CD" w:rsidRDefault="00E51455" w:rsidP="003970E8">
      <w:pPr>
        <w:pStyle w:val="FootnoteText"/>
      </w:pPr>
      <w:r w:rsidRPr="000275CD">
        <w:rPr>
          <w:rStyle w:val="FootnoteReference"/>
        </w:rPr>
        <w:footnoteRef/>
      </w:r>
      <w:r w:rsidRPr="000275CD">
        <w:t xml:space="preserve"> </w:t>
      </w:r>
      <w:r w:rsidRPr="000275CD">
        <w:tab/>
        <w:t>The Head of ADAE resigned after the end of his mandate in July 2025 and the Head of DPA resigned in March 2025 after an extended mandate of almost nine years (instead of six). Venice Commission (2025).</w:t>
      </w:r>
    </w:p>
  </w:footnote>
  <w:footnote w:id="182">
    <w:p w14:paraId="55D0DB08" w14:textId="178314BE" w:rsidR="00E51455" w:rsidRPr="000275CD" w:rsidRDefault="00E51455" w:rsidP="003970E8">
      <w:pPr>
        <w:pStyle w:val="FootnoteText"/>
      </w:pPr>
      <w:r w:rsidRPr="000275CD">
        <w:rPr>
          <w:rStyle w:val="FootnoteReference"/>
        </w:rPr>
        <w:footnoteRef/>
      </w:r>
      <w:r w:rsidRPr="000275CD">
        <w:t xml:space="preserve"> </w:t>
      </w:r>
      <w:r w:rsidRPr="000275CD">
        <w:tab/>
        <w:t>DPA: 20 positions; Ombudsman: 1; ADAE: 8 and ASEP:30. Greek Government (2026</w:t>
      </w:r>
      <w:r w:rsidR="000E7FCA">
        <w:t>a</w:t>
      </w:r>
      <w:r w:rsidRPr="000275CD">
        <w:t>), p. 120.</w:t>
      </w:r>
      <w:r w:rsidRPr="000275CD">
        <w:rPr>
          <w:i/>
          <w:iCs/>
        </w:rPr>
        <w:t xml:space="preserve"> </w:t>
      </w:r>
    </w:p>
  </w:footnote>
  <w:footnote w:id="183">
    <w:p w14:paraId="486FADE1" w14:textId="77777777" w:rsidR="00E51455" w:rsidRPr="000275CD" w:rsidRDefault="00E51455" w:rsidP="003970E8">
      <w:pPr>
        <w:pStyle w:val="FootnoteText"/>
      </w:pPr>
      <w:r w:rsidRPr="000275CD">
        <w:rPr>
          <w:rStyle w:val="FootnoteReference"/>
        </w:rPr>
        <w:footnoteRef/>
      </w:r>
      <w:r w:rsidRPr="000275CD">
        <w:t xml:space="preserve"> </w:t>
      </w:r>
      <w:r w:rsidRPr="000275CD">
        <w:tab/>
        <w:t>The Constitutional Independent Authorities recruit their staff through selection procedures organised by the ASEP. 2024 Rule of Law Report, Greece, pp. 26-27.</w:t>
      </w:r>
    </w:p>
  </w:footnote>
  <w:footnote w:id="184">
    <w:p w14:paraId="7F6E60C2" w14:textId="38B6FB3A" w:rsidR="00E51455" w:rsidRPr="000275CD" w:rsidRDefault="00E51455" w:rsidP="003970E8">
      <w:pPr>
        <w:pStyle w:val="FootnoteText"/>
      </w:pPr>
      <w:r w:rsidRPr="000275CD">
        <w:rPr>
          <w:rStyle w:val="FootnoteReference"/>
        </w:rPr>
        <w:footnoteRef/>
      </w:r>
      <w:r w:rsidRPr="000275CD">
        <w:t xml:space="preserve"> </w:t>
      </w:r>
      <w:r w:rsidRPr="000275CD">
        <w:tab/>
        <w:t xml:space="preserve">The establishment of its own staff selection process is the only remaining arrangement for the Ombudsperson to be fully compliant with the Principles of the Venice Commission (CDL-AD(2019)005-e). </w:t>
      </w:r>
    </w:p>
  </w:footnote>
  <w:footnote w:id="185">
    <w:p w14:paraId="4882F261" w14:textId="265FA7B3"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bCs/>
          <w:lang w:eastAsia="fr-FR"/>
        </w:rPr>
        <w:t>Law 5043/2023 introduced exemptions from ASEP’s standard recruitment procedures for several administrative authorities</w:t>
      </w:r>
      <w:r w:rsidR="006964F8">
        <w:rPr>
          <w:bCs/>
          <w:lang w:eastAsia="fr-FR"/>
        </w:rPr>
        <w:t>, with</w:t>
      </w:r>
      <w:r w:rsidR="00A352C3">
        <w:rPr>
          <w:bCs/>
          <w:lang w:eastAsia="fr-FR"/>
        </w:rPr>
        <w:t xml:space="preserve"> </w:t>
      </w:r>
      <w:r w:rsidR="00AE4826">
        <w:rPr>
          <w:bCs/>
          <w:lang w:eastAsia="fr-FR"/>
        </w:rPr>
        <w:t>ASEP assuming a more limited role.</w:t>
      </w:r>
      <w:r w:rsidRPr="000275CD">
        <w:rPr>
          <w:bCs/>
          <w:lang w:eastAsia="fr-FR"/>
        </w:rPr>
        <w:t xml:space="preserve">  </w:t>
      </w:r>
    </w:p>
  </w:footnote>
  <w:footnote w:id="186">
    <w:p w14:paraId="62994F79" w14:textId="62CE7545" w:rsidR="00E51455" w:rsidRPr="000275CD" w:rsidRDefault="00E51455" w:rsidP="003970E8">
      <w:pPr>
        <w:pStyle w:val="FootnoteText"/>
      </w:pPr>
      <w:r w:rsidRPr="000275CD">
        <w:rPr>
          <w:rStyle w:val="FootnoteReference"/>
        </w:rPr>
        <w:footnoteRef/>
      </w:r>
      <w:r w:rsidRPr="000275CD">
        <w:t xml:space="preserve"> </w:t>
      </w:r>
      <w:r w:rsidRPr="000275CD">
        <w:tab/>
        <w:t xml:space="preserve">The NCHR is the National Human Rights Institution, accredited with A status by the Global Alliance of Human Rights Institutions. As part of its re-accreditation process, the NCHR received recommendations to </w:t>
      </w:r>
      <w:r w:rsidRPr="000275CD">
        <w:rPr>
          <w:rFonts w:eastAsia="Segoe UI Semilight"/>
          <w:color w:val="000000" w:themeColor="text1"/>
        </w:rPr>
        <w:t>reinforce its independence, effectiveness, and alignment with international standards.</w:t>
      </w:r>
      <w:r w:rsidRPr="000275CD">
        <w:t xml:space="preserve"> The proposals submitted by the NCHR aim to comply fully with these recommendations. ENNHRI (2026), </w:t>
      </w:r>
      <w:r w:rsidR="00CC40DA">
        <w:t>p. 5</w:t>
      </w:r>
      <w:r w:rsidRPr="000275CD">
        <w:t>.</w:t>
      </w:r>
    </w:p>
  </w:footnote>
  <w:footnote w:id="187">
    <w:p w14:paraId="6804DFAF" w14:textId="0985AD43" w:rsidR="00357C6A" w:rsidRDefault="00357C6A">
      <w:pPr>
        <w:pStyle w:val="FootnoteText"/>
      </w:pPr>
      <w:r>
        <w:rPr>
          <w:rStyle w:val="FootnoteReference"/>
        </w:rPr>
        <w:footnoteRef/>
      </w:r>
      <w:r>
        <w:tab/>
      </w:r>
      <w:r w:rsidR="00611B4C">
        <w:t>Greek Government (2026c)</w:t>
      </w:r>
      <w:r w:rsidR="00230E6C">
        <w:t>; 2025 Rule of Law Report</w:t>
      </w:r>
      <w:r w:rsidR="00270B31">
        <w:t>, p. 19.</w:t>
      </w:r>
    </w:p>
  </w:footnote>
  <w:footnote w:id="188">
    <w:p w14:paraId="2E8AC5CD" w14:textId="52955F00" w:rsidR="00E51455" w:rsidRPr="000275CD" w:rsidRDefault="00E51455" w:rsidP="003970E8">
      <w:pPr>
        <w:pStyle w:val="FootnoteText"/>
      </w:pPr>
      <w:r w:rsidRPr="000275CD">
        <w:rPr>
          <w:rStyle w:val="FootnoteReference"/>
        </w:rPr>
        <w:footnoteRef/>
      </w:r>
      <w:r w:rsidRPr="000275CD">
        <w:t xml:space="preserve"> </w:t>
      </w:r>
      <w:r w:rsidRPr="000275CD">
        <w:tab/>
        <w:t>Following an appeal by survivors. Civil Liberties Union for Europe (2026), p. 27; Civil Society (2026</w:t>
      </w:r>
      <w:r w:rsidR="008577BF">
        <w:t>a</w:t>
      </w:r>
      <w:r w:rsidRPr="000275CD">
        <w:t xml:space="preserve">), p. 21. In May 2025, criminal charges were brought against 17 members of the Hellenic Coast Guard. </w:t>
      </w:r>
    </w:p>
  </w:footnote>
  <w:footnote w:id="189">
    <w:p w14:paraId="1CD31215" w14:textId="4B33E418" w:rsidR="00E51455" w:rsidRPr="000275CD" w:rsidRDefault="00E51455" w:rsidP="003970E8">
      <w:pPr>
        <w:pStyle w:val="FootnoteText"/>
      </w:pPr>
      <w:r w:rsidRPr="000275CD">
        <w:rPr>
          <w:rStyle w:val="FootnoteReference"/>
        </w:rPr>
        <w:footnoteRef/>
      </w:r>
      <w:r w:rsidRPr="000275CD">
        <w:tab/>
        <w:t>Civil Society (2026</w:t>
      </w:r>
      <w:r w:rsidR="008577BF">
        <w:t>a</w:t>
      </w:r>
      <w:r w:rsidRPr="000275CD">
        <w:t>) and (2026b)</w:t>
      </w:r>
      <w:r w:rsidR="00177DAC">
        <w:t>,</w:t>
      </w:r>
      <w:r w:rsidRPr="000275CD">
        <w:t xml:space="preserve"> pp. 5-6.   </w:t>
      </w:r>
    </w:p>
  </w:footnote>
  <w:footnote w:id="190">
    <w:p w14:paraId="6869637A" w14:textId="6D84B473"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0D1294">
        <w:t>b</w:t>
      </w:r>
      <w:r w:rsidRPr="000275CD">
        <w:t>), additional written input, p.</w:t>
      </w:r>
      <w:r w:rsidR="008F5F00">
        <w:t xml:space="preserve"> </w:t>
      </w:r>
      <w:r w:rsidRPr="000275CD">
        <w:t>59.</w:t>
      </w:r>
    </w:p>
  </w:footnote>
  <w:footnote w:id="191">
    <w:p w14:paraId="2E1A33D6" w14:textId="77777777" w:rsidR="00E51455" w:rsidRPr="000275CD" w:rsidRDefault="00E51455" w:rsidP="003970E8">
      <w:pPr>
        <w:pStyle w:val="FootnoteText"/>
      </w:pPr>
      <w:r w:rsidRPr="000275CD">
        <w:rPr>
          <w:rStyle w:val="FootnoteReference"/>
        </w:rPr>
        <w:footnoteRef/>
      </w:r>
      <w:r w:rsidRPr="000275CD">
        <w:t xml:space="preserve"> </w:t>
      </w:r>
      <w:r w:rsidRPr="000275CD">
        <w:tab/>
        <w:t>The Ombudsperson found in February 2025 that the coast guard committed serious failures and referred the findings to the authorities for action. 2025 Rule of Law Report, Greece, p. 19. Greek Ombudsman (2026c).</w:t>
      </w:r>
    </w:p>
  </w:footnote>
  <w:footnote w:id="192">
    <w:p w14:paraId="3E435D87" w14:textId="2D4A8969" w:rsidR="00E51455" w:rsidRPr="000275CD" w:rsidRDefault="00E51455" w:rsidP="003970E8">
      <w:pPr>
        <w:pStyle w:val="FootnoteText"/>
      </w:pPr>
      <w:r w:rsidRPr="000275CD">
        <w:rPr>
          <w:rStyle w:val="FootnoteReference"/>
        </w:rPr>
        <w:footnoteRef/>
      </w:r>
      <w:r w:rsidRPr="000275CD">
        <w:t xml:space="preserve"> </w:t>
      </w:r>
      <w:r w:rsidRPr="000275CD">
        <w:tab/>
        <w:t xml:space="preserve">Including that the preliminary investigation and collection of evidence is not carried out by officers of the bodies involved in the incident. Greek Ombudsman (2026a); NCHR (2026b); </w:t>
      </w:r>
      <w:r w:rsidR="00CE396A">
        <w:t>Greek</w:t>
      </w:r>
      <w:r w:rsidR="00CE396A" w:rsidRPr="000275CD">
        <w:t xml:space="preserve"> </w:t>
      </w:r>
      <w:r w:rsidRPr="000275CD">
        <w:t>Bar Association</w:t>
      </w:r>
      <w:r w:rsidR="00CE396A">
        <w:t>s</w:t>
      </w:r>
      <w:r w:rsidRPr="000275CD">
        <w:t xml:space="preserve"> (2026). </w:t>
      </w:r>
    </w:p>
  </w:footnote>
  <w:footnote w:id="193">
    <w:p w14:paraId="3967D424" w14:textId="07588228" w:rsidR="00E51455" w:rsidRPr="000275CD" w:rsidRDefault="00E51455" w:rsidP="003970E8">
      <w:pPr>
        <w:pStyle w:val="FootnoteText"/>
      </w:pPr>
      <w:r w:rsidRPr="000275CD">
        <w:rPr>
          <w:rStyle w:val="FootnoteReference"/>
        </w:rPr>
        <w:footnoteRef/>
      </w:r>
      <w:r w:rsidRPr="000275CD">
        <w:t xml:space="preserve"> </w:t>
      </w:r>
      <w:r w:rsidRPr="000275CD">
        <w:tab/>
        <w:t>Greek Ombudsman (2025)</w:t>
      </w:r>
      <w:r w:rsidR="008577BF">
        <w:t xml:space="preserve"> and (2026d)</w:t>
      </w:r>
      <w:r w:rsidRPr="000275CD">
        <w:t>; ENNHRI (2026), pp. 35-36</w:t>
      </w:r>
      <w:r w:rsidR="008577BF">
        <w:t>.</w:t>
      </w:r>
    </w:p>
  </w:footnote>
  <w:footnote w:id="194">
    <w:p w14:paraId="5F424996"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In the context </w:t>
      </w:r>
      <w:r w:rsidRPr="000275CD">
        <w:rPr>
          <w:lang w:eastAsia="fr-FR"/>
        </w:rPr>
        <w:t xml:space="preserve">of the execution of the </w:t>
      </w:r>
      <w:r w:rsidRPr="000275CD">
        <w:rPr>
          <w:i/>
          <w:iCs/>
          <w:lang w:eastAsia="fr-FR"/>
        </w:rPr>
        <w:t>Sidiropoulos and Papakostas</w:t>
      </w:r>
      <w:r w:rsidRPr="000275CD">
        <w:rPr>
          <w:lang w:eastAsia="fr-FR"/>
        </w:rPr>
        <w:t xml:space="preserve"> and</w:t>
      </w:r>
      <w:r w:rsidRPr="000275CD">
        <w:rPr>
          <w:i/>
          <w:iCs/>
          <w:lang w:eastAsia="fr-FR"/>
        </w:rPr>
        <w:t xml:space="preserve"> Alkhatib and Others</w:t>
      </w:r>
      <w:r w:rsidRPr="000275CD">
        <w:rPr>
          <w:b/>
          <w:bCs/>
          <w:lang w:eastAsia="fr-FR"/>
        </w:rPr>
        <w:t xml:space="preserve"> </w:t>
      </w:r>
      <w:r w:rsidRPr="000275CD">
        <w:rPr>
          <w:lang w:eastAsia="fr-FR"/>
        </w:rPr>
        <w:t>groups of cases.</w:t>
      </w:r>
    </w:p>
  </w:footnote>
  <w:footnote w:id="195">
    <w:p w14:paraId="0D0DD789" w14:textId="77777777" w:rsidR="00E51455" w:rsidRPr="000275CD" w:rsidRDefault="00E51455" w:rsidP="003970E8">
      <w:pPr>
        <w:pStyle w:val="FootnoteText"/>
      </w:pPr>
      <w:r w:rsidRPr="000275CD">
        <w:rPr>
          <w:rStyle w:val="FootnoteReference"/>
        </w:rPr>
        <w:footnoteRef/>
      </w:r>
      <w:r w:rsidRPr="000275CD">
        <w:t xml:space="preserve"> </w:t>
      </w:r>
      <w:r w:rsidRPr="000275CD">
        <w:tab/>
        <w:t>Council of Europe: Committee of Ministers (2026).</w:t>
      </w:r>
    </w:p>
  </w:footnote>
  <w:footnote w:id="196">
    <w:p w14:paraId="671266A7" w14:textId="77777777" w:rsidR="00E51455" w:rsidRPr="000275CD" w:rsidRDefault="00E51455" w:rsidP="003970E8">
      <w:pPr>
        <w:pStyle w:val="FootnoteText"/>
      </w:pPr>
      <w:r w:rsidRPr="000275CD">
        <w:rPr>
          <w:rStyle w:val="FootnoteReference"/>
        </w:rPr>
        <w:footnoteRef/>
      </w:r>
      <w:r w:rsidRPr="000275CD">
        <w:t xml:space="preserve"> </w:t>
      </w:r>
      <w:r w:rsidRPr="000275CD">
        <w:tab/>
        <w:t>W</w:t>
      </w:r>
      <w:r w:rsidRPr="000275CD">
        <w:rPr>
          <w:lang w:eastAsia="fr-FR"/>
        </w:rPr>
        <w:t>ith a mandate to oversee compliance with fundamental-rights standards and examine allegations of violations.</w:t>
      </w:r>
      <w:r w:rsidRPr="000275CD">
        <w:t xml:space="preserve"> Article 39 of Law 5303/2026</w:t>
      </w:r>
      <w:r w:rsidRPr="000275CD">
        <w:rPr>
          <w:sz w:val="24"/>
          <w:szCs w:val="22"/>
        </w:rPr>
        <w:t xml:space="preserve"> </w:t>
      </w:r>
      <w:r w:rsidRPr="000275CD">
        <w:t>was adopted to implement requirements stemming from the EU Pact on Migration and Asylum.</w:t>
      </w:r>
    </w:p>
  </w:footnote>
  <w:footnote w:id="197">
    <w:p w14:paraId="47F9043C" w14:textId="170B97E4" w:rsidR="00E51455" w:rsidRPr="000275CD" w:rsidRDefault="00E51455" w:rsidP="003970E8">
      <w:pPr>
        <w:pStyle w:val="FootnoteText"/>
      </w:pPr>
      <w:r w:rsidRPr="000275CD">
        <w:rPr>
          <w:rStyle w:val="FootnoteReference"/>
        </w:rPr>
        <w:footnoteRef/>
      </w:r>
      <w:r w:rsidRPr="000275CD">
        <w:t xml:space="preserve"> </w:t>
      </w:r>
      <w:r w:rsidRPr="000275CD">
        <w:tab/>
        <w:t>Greek Government (2026</w:t>
      </w:r>
      <w:r w:rsidR="000D1294">
        <w:t>a</w:t>
      </w:r>
      <w:r w:rsidRPr="000275CD">
        <w:t>), written input, p. 136.</w:t>
      </w:r>
    </w:p>
  </w:footnote>
  <w:footnote w:id="198">
    <w:p w14:paraId="37245D65" w14:textId="77777777" w:rsidR="00E51455" w:rsidRPr="000275CD" w:rsidRDefault="00E51455" w:rsidP="003970E8">
      <w:pPr>
        <w:pStyle w:val="FootnoteText"/>
      </w:pPr>
      <w:r w:rsidRPr="000275CD">
        <w:rPr>
          <w:rStyle w:val="FootnoteReference"/>
        </w:rPr>
        <w:footnoteRef/>
      </w:r>
      <w:r w:rsidRPr="000275CD">
        <w:t xml:space="preserve"> </w:t>
      </w:r>
      <w:r w:rsidRPr="000275CD">
        <w:tab/>
        <w:t>For an explanation of the supervision process, see the website of the Council of Europe.</w:t>
      </w:r>
    </w:p>
  </w:footnote>
  <w:footnote w:id="199">
    <w:p w14:paraId="091FBF3D" w14:textId="77777777" w:rsidR="00E51455" w:rsidRPr="000275CD" w:rsidRDefault="00E51455" w:rsidP="003970E8">
      <w:pPr>
        <w:pStyle w:val="FootnoteText"/>
      </w:pPr>
      <w:r w:rsidRPr="000275CD">
        <w:rPr>
          <w:rStyle w:val="FootnoteReference"/>
        </w:rPr>
        <w:footnoteRef/>
      </w:r>
      <w:r w:rsidRPr="000275CD">
        <w:t xml:space="preserve"> </w:t>
      </w:r>
      <w:r w:rsidRPr="000275CD">
        <w:tab/>
        <w:t>All figures calculated by the European Implementation Network (EIN) and based on the number of cases that are considered pending at the annual cut-off date of 1 January 2026. EIN (2026), written input, p. 4.</w:t>
      </w:r>
    </w:p>
  </w:footnote>
  <w:footnote w:id="200">
    <w:p w14:paraId="21F84EF2" w14:textId="0DF6A4F8" w:rsidR="00E51455" w:rsidRPr="000275CD" w:rsidRDefault="00E51455" w:rsidP="003970E8">
      <w:pPr>
        <w:pStyle w:val="FootnoteText"/>
      </w:pPr>
      <w:r w:rsidRPr="000275CD">
        <w:rPr>
          <w:rStyle w:val="FootnoteReference"/>
        </w:rPr>
        <w:footnoteRef/>
      </w:r>
      <w:r w:rsidRPr="000275CD">
        <w:t xml:space="preserve"> </w:t>
      </w:r>
      <w:r w:rsidRPr="000275CD">
        <w:tab/>
        <w:t xml:space="preserve">Judgment of the ECtHR, 35151/05, </w:t>
      </w:r>
      <w:r w:rsidRPr="000275CD">
        <w:rPr>
          <w:i/>
          <w:iCs/>
        </w:rPr>
        <w:t>Bekir-Ousta and Others v. Greece</w:t>
      </w:r>
      <w:r w:rsidRPr="000275CD">
        <w:t>, pending implementation since 2008. ABTTF (2026), written input, pp. 9,</w:t>
      </w:r>
      <w:r w:rsidR="00A261CB">
        <w:t xml:space="preserve"> </w:t>
      </w:r>
      <w:r w:rsidRPr="000275CD">
        <w:t xml:space="preserve">12 and 26. </w:t>
      </w:r>
    </w:p>
  </w:footnote>
  <w:footnote w:id="201">
    <w:p w14:paraId="4DF94DD7" w14:textId="77777777" w:rsidR="00E51455" w:rsidRPr="000275CD" w:rsidRDefault="00E51455" w:rsidP="003970E8">
      <w:pPr>
        <w:pStyle w:val="FootnoteText"/>
      </w:pPr>
      <w:r w:rsidRPr="000275CD">
        <w:rPr>
          <w:rStyle w:val="FootnoteReference"/>
        </w:rPr>
        <w:footnoteRef/>
      </w:r>
      <w:r w:rsidRPr="000275CD">
        <w:t xml:space="preserve"> </w:t>
      </w:r>
      <w:r w:rsidRPr="000275CD">
        <w:tab/>
        <w:t>Council of Europe (2026), p. 162.</w:t>
      </w:r>
    </w:p>
  </w:footnote>
  <w:footnote w:id="202">
    <w:p w14:paraId="702C0639" w14:textId="77777777" w:rsidR="00E51455" w:rsidRPr="000275CD" w:rsidRDefault="00E51455" w:rsidP="003970E8">
      <w:pPr>
        <w:pStyle w:val="FootnoteText"/>
      </w:pPr>
      <w:r w:rsidRPr="000275CD">
        <w:rPr>
          <w:rStyle w:val="FootnoteReference"/>
        </w:rPr>
        <w:footnoteRef/>
      </w:r>
      <w:r w:rsidRPr="000275CD">
        <w:t xml:space="preserve"> </w:t>
      </w:r>
      <w:r w:rsidRPr="000275CD">
        <w:tab/>
        <w:t>Data according to the online database of the Council of Europe (HUDOC).</w:t>
      </w:r>
    </w:p>
  </w:footnote>
  <w:footnote w:id="203">
    <w:p w14:paraId="63F79FBB" w14:textId="77777777" w:rsidR="00E51455" w:rsidRPr="000275CD" w:rsidRDefault="00E51455" w:rsidP="003970E8">
      <w:pPr>
        <w:pStyle w:val="FootnoteText"/>
      </w:pPr>
      <w:r w:rsidRPr="000275CD">
        <w:rPr>
          <w:rStyle w:val="FootnoteReference"/>
        </w:rPr>
        <w:footnoteRef/>
      </w:r>
      <w:r w:rsidRPr="000275CD">
        <w:tab/>
        <w:t>The 2025 Rule of Law Report recommended to Greece to “develop a regular and sustained structured dialogue with CSOs and simplify registration requirements in view of maintaining an open framework for them to operate”. Limited progress was assessed on this recommendation in 2025 and some progress in 2024 and 2023.</w:t>
      </w:r>
    </w:p>
  </w:footnote>
  <w:footnote w:id="204">
    <w:p w14:paraId="3D4CEA4F" w14:textId="77777777" w:rsidR="00436D89" w:rsidRPr="000275CD" w:rsidRDefault="00436D89" w:rsidP="00436D89">
      <w:pPr>
        <w:pStyle w:val="FootnoteText"/>
      </w:pPr>
      <w:r w:rsidRPr="000275CD">
        <w:rPr>
          <w:rStyle w:val="FootnoteReference"/>
        </w:rPr>
        <w:footnoteRef/>
      </w:r>
      <w:r w:rsidRPr="000275CD">
        <w:t xml:space="preserve"> </w:t>
      </w:r>
      <w:r w:rsidRPr="000275CD">
        <w:tab/>
        <w:t>European Commission Recommendation (EU) 2023/2836 of 12 December 2023 on promoting the engagement and effective participation of citizens and civil society organisations in public policy-making processes.</w:t>
      </w:r>
    </w:p>
  </w:footnote>
  <w:footnote w:id="205">
    <w:p w14:paraId="2DB7BFD9" w14:textId="286ACE33" w:rsidR="00E51455" w:rsidRPr="000275CD" w:rsidRDefault="00E51455" w:rsidP="003970E8">
      <w:pPr>
        <w:pStyle w:val="FootnoteText"/>
      </w:pPr>
      <w:r w:rsidRPr="000275CD">
        <w:rPr>
          <w:rStyle w:val="FootnoteReference"/>
        </w:rPr>
        <w:footnoteRef/>
      </w:r>
      <w:r w:rsidRPr="000275CD">
        <w:t xml:space="preserve"> </w:t>
      </w:r>
      <w:r w:rsidRPr="000275CD">
        <w:tab/>
        <w:t>Ministerial decision 82876/2026; Greek Government (2026</w:t>
      </w:r>
      <w:r w:rsidR="000E5867">
        <w:t>b</w:t>
      </w:r>
      <w:r w:rsidRPr="000275CD">
        <w:t>), additional written input, pp. 50-51.</w:t>
      </w:r>
    </w:p>
  </w:footnote>
  <w:footnote w:id="206">
    <w:p w14:paraId="16C28499" w14:textId="6BECC609" w:rsidR="00215F12" w:rsidRDefault="00215F12">
      <w:pPr>
        <w:pStyle w:val="FootnoteText"/>
      </w:pPr>
      <w:r>
        <w:rPr>
          <w:rStyle w:val="FootnoteReference"/>
        </w:rPr>
        <w:footnoteRef/>
      </w:r>
      <w:r>
        <w:tab/>
        <w:t>Greek Government (2026</w:t>
      </w:r>
      <w:r w:rsidR="00EF3587">
        <w:t>c).</w:t>
      </w:r>
    </w:p>
  </w:footnote>
  <w:footnote w:id="207">
    <w:p w14:paraId="40A205EA"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The Registry of Greek and Foreign Non-Governmental Organisations (‘NGO Registry’) and the Registry of NGO Members. Law 5275/2026. Under the previous framework, the obligation to register applied to </w:t>
      </w:r>
      <w:r w:rsidRPr="000275CD">
        <w:rPr>
          <w:bCs/>
          <w:lang w:eastAsia="fr-FR"/>
        </w:rPr>
        <w:t>all CSOs active in the fields of international protection, migration, and social inclusion.</w:t>
      </w:r>
    </w:p>
  </w:footnote>
  <w:footnote w:id="208">
    <w:p w14:paraId="22C9A838" w14:textId="77777777" w:rsidR="00E51455" w:rsidRPr="00FC54EA" w:rsidRDefault="00E51455" w:rsidP="003970E8">
      <w:pPr>
        <w:pStyle w:val="FootnoteText"/>
        <w:rPr>
          <w:lang w:val="es-ES"/>
        </w:rPr>
      </w:pPr>
      <w:r w:rsidRPr="000275CD">
        <w:rPr>
          <w:rStyle w:val="FootnoteReference"/>
        </w:rPr>
        <w:footnoteRef/>
      </w:r>
      <w:r w:rsidRPr="00FC54EA">
        <w:rPr>
          <w:lang w:val="es-ES"/>
        </w:rPr>
        <w:t xml:space="preserve"> </w:t>
      </w:r>
      <w:r w:rsidRPr="00FC54EA">
        <w:rPr>
          <w:lang w:val="es-ES"/>
        </w:rPr>
        <w:tab/>
        <w:t>Ministerial decision 82876/2026, Article 3 para 4 c).</w:t>
      </w:r>
    </w:p>
  </w:footnote>
  <w:footnote w:id="209">
    <w:p w14:paraId="2D472764" w14:textId="77777777" w:rsidR="00E51455" w:rsidRPr="00575180" w:rsidRDefault="00E51455" w:rsidP="003970E8">
      <w:pPr>
        <w:pStyle w:val="FootnoteText"/>
      </w:pPr>
      <w:r w:rsidRPr="000275CD">
        <w:rPr>
          <w:rStyle w:val="FootnoteReference"/>
        </w:rPr>
        <w:footnoteRef/>
      </w:r>
      <w:r w:rsidRPr="000275CD">
        <w:t xml:space="preserve"> </w:t>
      </w:r>
      <w:r w:rsidRPr="000275CD">
        <w:tab/>
        <w:t xml:space="preserve">The Public Database and the Special Registry of the Ministry; registration is required to apply for state </w:t>
      </w:r>
      <w:r w:rsidRPr="00575180">
        <w:t>funding. 2023 Rule of Law Report, Greece, p. 27.</w:t>
      </w:r>
    </w:p>
  </w:footnote>
  <w:footnote w:id="210">
    <w:p w14:paraId="1DBEDFE7" w14:textId="349997C6" w:rsidR="00E51455" w:rsidRPr="000275CD" w:rsidRDefault="00E51455" w:rsidP="003970E8">
      <w:pPr>
        <w:pStyle w:val="FootnoteText"/>
      </w:pPr>
      <w:r w:rsidRPr="00575180">
        <w:rPr>
          <w:rStyle w:val="FootnoteReference"/>
        </w:rPr>
        <w:footnoteRef/>
      </w:r>
      <w:r w:rsidRPr="00575180">
        <w:t xml:space="preserve"> </w:t>
      </w:r>
      <w:r w:rsidRPr="00575180">
        <w:tab/>
        <w:t>Greek Government (2026</w:t>
      </w:r>
      <w:r w:rsidR="000E5867">
        <w:t>b</w:t>
      </w:r>
      <w:r w:rsidR="00D95A0A">
        <w:t xml:space="preserve"> and 2026c</w:t>
      </w:r>
      <w:r w:rsidRPr="00575180">
        <w:t>), p</w:t>
      </w:r>
      <w:r w:rsidR="00575180" w:rsidRPr="00575180">
        <w:t>p</w:t>
      </w:r>
      <w:r w:rsidRPr="00575180">
        <w:t>.</w:t>
      </w:r>
      <w:r w:rsidR="00575180" w:rsidRPr="00575180">
        <w:t xml:space="preserve"> 53-54.</w:t>
      </w:r>
      <w:r w:rsidRPr="000275CD">
        <w:t xml:space="preserve"> </w:t>
      </w:r>
    </w:p>
  </w:footnote>
  <w:footnote w:id="211">
    <w:p w14:paraId="3EA059B7" w14:textId="77777777" w:rsidR="00E51455" w:rsidRPr="000275CD" w:rsidRDefault="00E51455" w:rsidP="003970E8">
      <w:pPr>
        <w:pStyle w:val="FootnoteText"/>
      </w:pPr>
      <w:r w:rsidRPr="000275CD">
        <w:rPr>
          <w:rStyle w:val="FootnoteReference"/>
        </w:rPr>
        <w:footnoteRef/>
      </w:r>
      <w:r w:rsidRPr="000275CD">
        <w:t xml:space="preserve"> </w:t>
      </w:r>
      <w:r w:rsidRPr="000275CD">
        <w:tab/>
        <w:t xml:space="preserve">Registration is free of charge and carried out electronically using the tax system credentials. Entities already in the two Registries of the Ministry of Interior are registered automatically. </w:t>
      </w:r>
      <w:r w:rsidRPr="000275CD">
        <w:rPr>
          <w:bCs/>
        </w:rPr>
        <w:t xml:space="preserve">The Observatory will also function as the Registry of Non-Commercial Economic Activity, provided by Law 4919/2022. </w:t>
      </w:r>
      <w:r w:rsidRPr="000275CD">
        <w:t xml:space="preserve"> </w:t>
      </w:r>
    </w:p>
  </w:footnote>
  <w:footnote w:id="212">
    <w:p w14:paraId="289E8F2F" w14:textId="77777777" w:rsidR="00E51455" w:rsidRPr="000275CD" w:rsidRDefault="00E51455" w:rsidP="003970E8">
      <w:pPr>
        <w:pStyle w:val="FootnoteText"/>
      </w:pPr>
      <w:r w:rsidRPr="000275CD">
        <w:rPr>
          <w:rStyle w:val="FootnoteReference"/>
        </w:rPr>
        <w:footnoteRef/>
      </w:r>
      <w:r w:rsidRPr="000275CD">
        <w:t xml:space="preserve"> </w:t>
      </w:r>
      <w:r w:rsidRPr="000275CD">
        <w:tab/>
        <w:t>There are more than eleven Registries managed by different ministries and additional ones held at local and regional level. 2025 Rule of Law Report, pp. 20-21.</w:t>
      </w:r>
    </w:p>
  </w:footnote>
  <w:footnote w:id="213">
    <w:p w14:paraId="65E7BF69" w14:textId="77777777" w:rsidR="00E51455" w:rsidRPr="000275CD" w:rsidRDefault="00E51455" w:rsidP="003970E8">
      <w:pPr>
        <w:pStyle w:val="FootnoteText"/>
      </w:pPr>
      <w:r w:rsidRPr="000275CD">
        <w:rPr>
          <w:rStyle w:val="FootnoteReference"/>
        </w:rPr>
        <w:footnoteRef/>
      </w:r>
      <w:r w:rsidRPr="000275CD">
        <w:t xml:space="preserve"> </w:t>
      </w:r>
      <w:r w:rsidRPr="000275CD">
        <w:tab/>
        <w:t>United Nations (2026);</w:t>
      </w:r>
      <w:r w:rsidRPr="000275CD">
        <w:rPr>
          <w:lang w:eastAsia="fr-FR"/>
        </w:rPr>
        <w:t xml:space="preserve"> Council of Europe, Expert Council on NGO Law (2026); </w:t>
      </w:r>
      <w:r w:rsidRPr="000275CD">
        <w:t>Greek Ombudsman (2026); NCHR (2026a);</w:t>
      </w:r>
      <w:r w:rsidRPr="000275CD">
        <w:rPr>
          <w:lang w:eastAsia="fr-FR"/>
        </w:rPr>
        <w:t xml:space="preserve"> Economic and Social Council of Greece (2026).</w:t>
      </w:r>
    </w:p>
  </w:footnote>
  <w:footnote w:id="214">
    <w:p w14:paraId="06A707F9" w14:textId="1CBAE7CA" w:rsidR="00E51455" w:rsidRPr="000275CD" w:rsidRDefault="00E51455" w:rsidP="003970E8">
      <w:pPr>
        <w:pStyle w:val="FootnoteText"/>
      </w:pPr>
      <w:r w:rsidRPr="000275CD">
        <w:rPr>
          <w:rStyle w:val="FootnoteReference"/>
        </w:rPr>
        <w:footnoteRef/>
      </w:r>
      <w:r w:rsidRPr="000275CD">
        <w:tab/>
        <w:t xml:space="preserve">The case was first heard by the Plenary of the Council of State in December 2022, but a new hearing was scheduled after the case was assigned to a different judge rapporteur. </w:t>
      </w:r>
      <w:r w:rsidRPr="000275CD">
        <w:rPr>
          <w:bCs/>
          <w:lang w:eastAsia="fr-FR"/>
        </w:rPr>
        <w:t xml:space="preserve">The delay has stalled several pending applications against registration refusals, as their proceedings remain suspended until the Council of State rules on the legality of the legal framework. </w:t>
      </w:r>
      <w:r w:rsidRPr="000275CD">
        <w:t>Civil Society (2026</w:t>
      </w:r>
      <w:r w:rsidR="00FD59AE">
        <w:t>b</w:t>
      </w:r>
      <w:r w:rsidRPr="000275CD">
        <w:t>), pp. 10-12.</w:t>
      </w:r>
    </w:p>
  </w:footnote>
  <w:footnote w:id="215">
    <w:p w14:paraId="50E9935A" w14:textId="77777777" w:rsidR="00E51455" w:rsidRPr="000275CD" w:rsidRDefault="00E51455" w:rsidP="003970E8">
      <w:pPr>
        <w:pStyle w:val="FootnoteText"/>
      </w:pPr>
      <w:r w:rsidRPr="000275CD">
        <w:rPr>
          <w:rStyle w:val="FootnoteReference"/>
        </w:rPr>
        <w:footnoteRef/>
      </w:r>
      <w:r w:rsidRPr="000275CD">
        <w:tab/>
        <w:t>The score is 51/100. Rating by CIVICUS are on a five-category scale defined as: open, narrowed, obstructed, repressed and closed; Civicus (2026), Monitor tracking civic space-Greece.</w:t>
      </w:r>
    </w:p>
  </w:footnote>
  <w:footnote w:id="216">
    <w:p w14:paraId="2BC6D0DE" w14:textId="199E09E9" w:rsidR="00E51455" w:rsidRPr="000275CD" w:rsidRDefault="00E51455" w:rsidP="003970E8">
      <w:pPr>
        <w:pStyle w:val="FootnoteText"/>
      </w:pPr>
      <w:r w:rsidRPr="000275CD">
        <w:rPr>
          <w:rStyle w:val="FootnoteReference"/>
        </w:rPr>
        <w:footnoteRef/>
      </w:r>
      <w:r w:rsidRPr="000275CD">
        <w:t xml:space="preserve"> </w:t>
      </w:r>
      <w:r w:rsidRPr="000275CD">
        <w:tab/>
      </w:r>
      <w:r w:rsidRPr="000275CD">
        <w:rPr>
          <w:bCs/>
        </w:rPr>
        <w:t>Articles 15 and 16 of Law 5275 /2026. M</w:t>
      </w:r>
      <w:r w:rsidRPr="000275CD">
        <w:t xml:space="preserve">embership in a registered CSO increases the penalties for facilitating entry, stay, or exit of third-country nationals, withholding travel documents, or submitting false information, raising imprisonment </w:t>
      </w:r>
      <w:r w:rsidR="002A67DE">
        <w:t>from 1-2</w:t>
      </w:r>
      <w:r w:rsidRPr="000275CD">
        <w:t xml:space="preserve"> years to up to 10 years, and can also trigger CSO deregistration.</w:t>
      </w:r>
    </w:p>
  </w:footnote>
  <w:footnote w:id="217">
    <w:p w14:paraId="0547A114" w14:textId="56AC7148" w:rsidR="00E51455" w:rsidRPr="003E32AC" w:rsidRDefault="00E51455" w:rsidP="003970E8">
      <w:pPr>
        <w:pStyle w:val="FootnoteText"/>
      </w:pPr>
      <w:r w:rsidRPr="000275CD">
        <w:rPr>
          <w:rStyle w:val="FootnoteReference"/>
        </w:rPr>
        <w:footnoteRef/>
      </w:r>
      <w:r w:rsidRPr="000275CD">
        <w:t xml:space="preserve"> </w:t>
      </w:r>
      <w:r w:rsidRPr="000275CD">
        <w:tab/>
        <w:t xml:space="preserve">The aggravating factor is explained by the potential abuse or exploitation of one’s role as a CSO member, highlighting the contradiction between the criminal conduct and </w:t>
      </w:r>
      <w:r w:rsidRPr="003E32AC">
        <w:t>CSOs’ purpose of supporting international protection, migration, and social inclusion. Greek Government (2026</w:t>
      </w:r>
      <w:r w:rsidR="001836CE">
        <w:t>b</w:t>
      </w:r>
      <w:r w:rsidRPr="003E32AC">
        <w:t>), additional written input, pp. 48-49.</w:t>
      </w:r>
    </w:p>
  </w:footnote>
  <w:footnote w:id="218">
    <w:p w14:paraId="27FB3A3C" w14:textId="2B2ACAB7" w:rsidR="00E51455" w:rsidRPr="003E32AC" w:rsidRDefault="00E51455" w:rsidP="003970E8">
      <w:pPr>
        <w:pStyle w:val="FootnoteText"/>
        <w:rPr>
          <w:lang w:eastAsia="fr-FR"/>
        </w:rPr>
      </w:pPr>
      <w:r w:rsidRPr="003E32AC">
        <w:rPr>
          <w:rStyle w:val="FootnoteReference"/>
        </w:rPr>
        <w:footnoteRef/>
      </w:r>
      <w:r w:rsidRPr="003E32AC">
        <w:t xml:space="preserve"> </w:t>
      </w:r>
      <w:r w:rsidRPr="003E32AC">
        <w:tab/>
        <w:t>United Nations (2026);</w:t>
      </w:r>
      <w:r w:rsidRPr="003E32AC">
        <w:rPr>
          <w:lang w:eastAsia="fr-FR"/>
        </w:rPr>
        <w:t xml:space="preserve"> Council of Europe, Expert Council on NGO Law (2026); </w:t>
      </w:r>
      <w:r w:rsidRPr="003E32AC">
        <w:t>Greek Ombudsman (2026</w:t>
      </w:r>
      <w:r w:rsidR="003E32AC" w:rsidRPr="003E32AC">
        <w:t>a</w:t>
      </w:r>
      <w:r w:rsidRPr="003E32AC">
        <w:t>); NCHR (2026a);</w:t>
      </w:r>
      <w:r w:rsidRPr="003E32AC">
        <w:rPr>
          <w:lang w:eastAsia="fr-FR"/>
        </w:rPr>
        <w:t xml:space="preserve"> Economic and Social Council of Greece (2026)</w:t>
      </w:r>
      <w:r w:rsidR="008F7B58">
        <w:rPr>
          <w:lang w:eastAsia="fr-FR"/>
        </w:rPr>
        <w:t>; FRA (2026) p. 98</w:t>
      </w:r>
      <w:r w:rsidRPr="003E32AC">
        <w:rPr>
          <w:lang w:eastAsia="fr-FR"/>
        </w:rPr>
        <w:t>.</w:t>
      </w:r>
    </w:p>
  </w:footnote>
  <w:footnote w:id="219">
    <w:p w14:paraId="6BF5CB96" w14:textId="2F91C089" w:rsidR="00E51455" w:rsidRPr="000275CD" w:rsidRDefault="00E51455" w:rsidP="003970E8">
      <w:pPr>
        <w:pStyle w:val="FootnoteText"/>
      </w:pPr>
      <w:r w:rsidRPr="003E32AC">
        <w:rPr>
          <w:rStyle w:val="FootnoteReference"/>
        </w:rPr>
        <w:footnoteRef/>
      </w:r>
      <w:r w:rsidRPr="003E32AC">
        <w:t xml:space="preserve"> </w:t>
      </w:r>
      <w:r w:rsidRPr="003E32AC">
        <w:tab/>
      </w:r>
      <w:r w:rsidR="00497DF6" w:rsidRPr="003E32AC">
        <w:t>HIAS Greece</w:t>
      </w:r>
      <w:r w:rsidRPr="003E32AC">
        <w:t xml:space="preserve"> (2026); Civil Society (2026</w:t>
      </w:r>
      <w:r w:rsidR="00497DF6" w:rsidRPr="003E32AC">
        <w:t>a</w:t>
      </w:r>
      <w:r w:rsidRPr="003E32AC">
        <w:t>), pp. 82-83.</w:t>
      </w:r>
    </w:p>
  </w:footnote>
  <w:footnote w:id="220">
    <w:p w14:paraId="4F9037BF" w14:textId="6669B971" w:rsidR="00E51455" w:rsidRPr="000275CD" w:rsidRDefault="00E51455" w:rsidP="003970E8">
      <w:pPr>
        <w:pStyle w:val="FootnoteText"/>
      </w:pPr>
      <w:r w:rsidRPr="000275CD">
        <w:rPr>
          <w:rStyle w:val="FootnoteReference"/>
        </w:rPr>
        <w:footnoteRef/>
      </w:r>
      <w:r w:rsidRPr="000275CD">
        <w:t xml:space="preserve"> </w:t>
      </w:r>
      <w:r w:rsidRPr="000275CD">
        <w:tab/>
        <w:t xml:space="preserve">United Nations (2025); OHCHR (2026), </w:t>
      </w:r>
      <w:r w:rsidR="008060C0" w:rsidRPr="000275CD">
        <w:t>FRA (2026)</w:t>
      </w:r>
      <w:r w:rsidR="00021CD8">
        <w:t xml:space="preserve"> and </w:t>
      </w:r>
      <w:r w:rsidR="00021CD8" w:rsidRPr="000275CD">
        <w:t xml:space="preserve">Human Rights Watch (2026), </w:t>
      </w:r>
      <w:r w:rsidRPr="000275CD">
        <w:t>written input</w:t>
      </w:r>
      <w:r w:rsidR="00021CD8">
        <w:t>s</w:t>
      </w:r>
      <w:r w:rsidRPr="000275CD">
        <w:t xml:space="preserve">, </w:t>
      </w:r>
      <w:r w:rsidR="00021CD8">
        <w:t>p</w:t>
      </w:r>
      <w:r w:rsidRPr="000275CD">
        <w:t>p.6</w:t>
      </w:r>
      <w:r w:rsidR="00021CD8">
        <w:t xml:space="preserve">, </w:t>
      </w:r>
      <w:r w:rsidR="008060C0">
        <w:t>99-100</w:t>
      </w:r>
      <w:r w:rsidR="00021CD8">
        <w:t>,</w:t>
      </w:r>
      <w:r w:rsidR="008060C0">
        <w:t>102</w:t>
      </w:r>
      <w:r w:rsidR="00021CD8">
        <w:t>, and 3 respectively</w:t>
      </w:r>
      <w:r w:rsidRPr="000275CD">
        <w:t xml:space="preserve">; Council of Europe, Conference of INGOs (2025); </w:t>
      </w:r>
      <w:r w:rsidR="00CE396A">
        <w:t>Greek</w:t>
      </w:r>
      <w:r w:rsidR="00CE396A" w:rsidRPr="000275CD">
        <w:t xml:space="preserve"> </w:t>
      </w:r>
      <w:r w:rsidRPr="000275CD">
        <w:t>Bar Association</w:t>
      </w:r>
      <w:r w:rsidR="00CE396A">
        <w:t>s</w:t>
      </w:r>
      <w:r w:rsidRPr="000275CD">
        <w:t xml:space="preserve"> (2026); UNHCR/GNCHR (2025); ENNHRI (2026), pp. 14-16;</w:t>
      </w:r>
      <w:r w:rsidR="00021CD8">
        <w:t xml:space="preserve"> </w:t>
      </w:r>
      <w:r w:rsidRPr="000275CD">
        <w:t>Civil Society (2026</w:t>
      </w:r>
      <w:r w:rsidR="00021CD8">
        <w:t>a and 2026b</w:t>
      </w:r>
      <w:r w:rsidRPr="000275CD">
        <w:t>), pp</w:t>
      </w:r>
      <w:r w:rsidR="002C414A">
        <w:t>.</w:t>
      </w:r>
      <w:r w:rsidRPr="000275CD">
        <w:t xml:space="preserve"> 86-88</w:t>
      </w:r>
      <w:r w:rsidR="00021CD8">
        <w:t xml:space="preserve"> and</w:t>
      </w:r>
      <w:r w:rsidRPr="000275CD">
        <w:t xml:space="preserve"> 2 respectively, Civil Liberties Union for Europe (2026), p. 25; Vouliwatch (2026).</w:t>
      </w:r>
    </w:p>
  </w:footnote>
  <w:footnote w:id="221">
    <w:p w14:paraId="6AB776C5" w14:textId="00FC2036" w:rsidR="00E51455" w:rsidRPr="00CE37FC" w:rsidRDefault="00E51455" w:rsidP="003970E8">
      <w:pPr>
        <w:pStyle w:val="FootnoteText"/>
      </w:pPr>
      <w:r w:rsidRPr="000275CD">
        <w:rPr>
          <w:rStyle w:val="FootnoteReference"/>
        </w:rPr>
        <w:footnoteRef/>
      </w:r>
      <w:r w:rsidRPr="000275CD">
        <w:t xml:space="preserve"> </w:t>
      </w:r>
      <w:r w:rsidRPr="000275CD">
        <w:tab/>
        <w:t>Greek Government (2026</w:t>
      </w:r>
      <w:r w:rsidR="00021CD8">
        <w:t>a</w:t>
      </w:r>
      <w:r w:rsidRPr="000275CD">
        <w:t xml:space="preserve">), written input, pp. 23-24.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53DD3" w14:textId="77777777" w:rsidR="00E71D16" w:rsidRPr="00E71D16" w:rsidRDefault="00E71D16" w:rsidP="00E71D1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E6EFC" w14:textId="77777777" w:rsidR="00E71D16" w:rsidRPr="00E71D16" w:rsidRDefault="00E71D16" w:rsidP="00E71D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73CD9" w14:textId="77777777" w:rsidR="00E71D16" w:rsidRPr="00E71D16" w:rsidRDefault="00E71D16" w:rsidP="00E71D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DB0B3" w14:textId="1E363974" w:rsidR="00E51455" w:rsidRPr="000275CD" w:rsidRDefault="00E514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E0985" w14:textId="2146DE2D" w:rsidR="00E51455" w:rsidRPr="000275CD" w:rsidRDefault="00E51455" w:rsidP="002F2332">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04F94" w14:textId="2CDC65B2" w:rsidR="00E51455" w:rsidRPr="000275CD" w:rsidRDefault="00E51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83CA2"/>
    <w:multiLevelType w:val="hybridMultilevel"/>
    <w:tmpl w:val="C65C57FA"/>
    <w:lvl w:ilvl="0" w:tplc="7754550A">
      <w:start w:val="1"/>
      <w:numFmt w:val="decimal"/>
      <w:lvlText w:val="%1)"/>
      <w:lvlJc w:val="left"/>
      <w:pPr>
        <w:ind w:left="1020" w:hanging="360"/>
      </w:pPr>
    </w:lvl>
    <w:lvl w:ilvl="1" w:tplc="BF829746">
      <w:start w:val="1"/>
      <w:numFmt w:val="decimal"/>
      <w:lvlText w:val="%2)"/>
      <w:lvlJc w:val="left"/>
      <w:pPr>
        <w:ind w:left="1020" w:hanging="360"/>
      </w:pPr>
    </w:lvl>
    <w:lvl w:ilvl="2" w:tplc="FD949FE4">
      <w:start w:val="1"/>
      <w:numFmt w:val="decimal"/>
      <w:lvlText w:val="%3)"/>
      <w:lvlJc w:val="left"/>
      <w:pPr>
        <w:ind w:left="1020" w:hanging="360"/>
      </w:pPr>
    </w:lvl>
    <w:lvl w:ilvl="3" w:tplc="6CA201E2">
      <w:start w:val="1"/>
      <w:numFmt w:val="decimal"/>
      <w:lvlText w:val="%4)"/>
      <w:lvlJc w:val="left"/>
      <w:pPr>
        <w:ind w:left="1020" w:hanging="360"/>
      </w:pPr>
    </w:lvl>
    <w:lvl w:ilvl="4" w:tplc="B328B572">
      <w:start w:val="1"/>
      <w:numFmt w:val="decimal"/>
      <w:lvlText w:val="%5)"/>
      <w:lvlJc w:val="left"/>
      <w:pPr>
        <w:ind w:left="1020" w:hanging="360"/>
      </w:pPr>
    </w:lvl>
    <w:lvl w:ilvl="5" w:tplc="479813DC">
      <w:start w:val="1"/>
      <w:numFmt w:val="decimal"/>
      <w:lvlText w:val="%6)"/>
      <w:lvlJc w:val="left"/>
      <w:pPr>
        <w:ind w:left="1020" w:hanging="360"/>
      </w:pPr>
    </w:lvl>
    <w:lvl w:ilvl="6" w:tplc="2CF409C4">
      <w:start w:val="1"/>
      <w:numFmt w:val="decimal"/>
      <w:lvlText w:val="%7)"/>
      <w:lvlJc w:val="left"/>
      <w:pPr>
        <w:ind w:left="1020" w:hanging="360"/>
      </w:pPr>
    </w:lvl>
    <w:lvl w:ilvl="7" w:tplc="FA40F554">
      <w:start w:val="1"/>
      <w:numFmt w:val="decimal"/>
      <w:lvlText w:val="%8)"/>
      <w:lvlJc w:val="left"/>
      <w:pPr>
        <w:ind w:left="1020" w:hanging="360"/>
      </w:pPr>
    </w:lvl>
    <w:lvl w:ilvl="8" w:tplc="172E92F2">
      <w:start w:val="1"/>
      <w:numFmt w:val="decimal"/>
      <w:lvlText w:val="%9)"/>
      <w:lvlJc w:val="left"/>
      <w:pPr>
        <w:ind w:left="1020" w:hanging="36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DC979BA"/>
    <w:multiLevelType w:val="hybridMultilevel"/>
    <w:tmpl w:val="D674B73E"/>
    <w:lvl w:ilvl="0" w:tplc="276481BE">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3C5490F"/>
    <w:multiLevelType w:val="hybridMultilevel"/>
    <w:tmpl w:val="3348A41C"/>
    <w:lvl w:ilvl="0" w:tplc="48F2FB2E">
      <w:start w:val="1"/>
      <w:numFmt w:val="decimal"/>
      <w:lvlText w:val="%1)"/>
      <w:lvlJc w:val="left"/>
      <w:pPr>
        <w:ind w:left="1020" w:hanging="360"/>
      </w:pPr>
    </w:lvl>
    <w:lvl w:ilvl="1" w:tplc="A506526E">
      <w:start w:val="1"/>
      <w:numFmt w:val="decimal"/>
      <w:lvlText w:val="%2)"/>
      <w:lvlJc w:val="left"/>
      <w:pPr>
        <w:ind w:left="1020" w:hanging="360"/>
      </w:pPr>
    </w:lvl>
    <w:lvl w:ilvl="2" w:tplc="E0BADA74">
      <w:start w:val="1"/>
      <w:numFmt w:val="decimal"/>
      <w:lvlText w:val="%3)"/>
      <w:lvlJc w:val="left"/>
      <w:pPr>
        <w:ind w:left="1020" w:hanging="360"/>
      </w:pPr>
    </w:lvl>
    <w:lvl w:ilvl="3" w:tplc="2BC0C758">
      <w:start w:val="1"/>
      <w:numFmt w:val="decimal"/>
      <w:lvlText w:val="%4)"/>
      <w:lvlJc w:val="left"/>
      <w:pPr>
        <w:ind w:left="1020" w:hanging="360"/>
      </w:pPr>
    </w:lvl>
    <w:lvl w:ilvl="4" w:tplc="216EFEFC">
      <w:start w:val="1"/>
      <w:numFmt w:val="decimal"/>
      <w:lvlText w:val="%5)"/>
      <w:lvlJc w:val="left"/>
      <w:pPr>
        <w:ind w:left="1020" w:hanging="360"/>
      </w:pPr>
    </w:lvl>
    <w:lvl w:ilvl="5" w:tplc="C02A911E">
      <w:start w:val="1"/>
      <w:numFmt w:val="decimal"/>
      <w:lvlText w:val="%6)"/>
      <w:lvlJc w:val="left"/>
      <w:pPr>
        <w:ind w:left="1020" w:hanging="360"/>
      </w:pPr>
    </w:lvl>
    <w:lvl w:ilvl="6" w:tplc="B422053A">
      <w:start w:val="1"/>
      <w:numFmt w:val="decimal"/>
      <w:lvlText w:val="%7)"/>
      <w:lvlJc w:val="left"/>
      <w:pPr>
        <w:ind w:left="1020" w:hanging="360"/>
      </w:pPr>
    </w:lvl>
    <w:lvl w:ilvl="7" w:tplc="03E4B0A0">
      <w:start w:val="1"/>
      <w:numFmt w:val="decimal"/>
      <w:lvlText w:val="%8)"/>
      <w:lvlJc w:val="left"/>
      <w:pPr>
        <w:ind w:left="1020" w:hanging="360"/>
      </w:pPr>
    </w:lvl>
    <w:lvl w:ilvl="8" w:tplc="89005EA8">
      <w:start w:val="1"/>
      <w:numFmt w:val="decimal"/>
      <w:lvlText w:val="%9)"/>
      <w:lvlJc w:val="left"/>
      <w:pPr>
        <w:ind w:left="1020" w:hanging="36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8B10FD4"/>
    <w:multiLevelType w:val="hybridMultilevel"/>
    <w:tmpl w:val="455AF886"/>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9"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5"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8"/>
  </w:num>
  <w:num w:numId="2">
    <w:abstractNumId w:val="12"/>
  </w:num>
  <w:num w:numId="3">
    <w:abstractNumId w:val="11"/>
  </w:num>
  <w:num w:numId="4">
    <w:abstractNumId w:val="27"/>
  </w:num>
  <w:num w:numId="5">
    <w:abstractNumId w:val="21"/>
  </w:num>
  <w:num w:numId="6">
    <w:abstractNumId w:val="19"/>
  </w:num>
  <w:num w:numId="7">
    <w:abstractNumId w:val="10"/>
  </w:num>
  <w:num w:numId="8">
    <w:abstractNumId w:val="6"/>
  </w:num>
  <w:num w:numId="9">
    <w:abstractNumId w:val="5"/>
  </w:num>
  <w:num w:numId="10">
    <w:abstractNumId w:val="4"/>
  </w:num>
  <w:num w:numId="11">
    <w:abstractNumId w:val="20"/>
  </w:num>
  <w:num w:numId="12">
    <w:abstractNumId w:val="8"/>
  </w:num>
  <w:num w:numId="13">
    <w:abstractNumId w:val="3"/>
  </w:num>
  <w:num w:numId="14">
    <w:abstractNumId w:val="25"/>
  </w:num>
  <w:num w:numId="15">
    <w:abstractNumId w:val="23"/>
  </w:num>
  <w:num w:numId="16">
    <w:abstractNumId w:val="16"/>
  </w:num>
  <w:num w:numId="17">
    <w:abstractNumId w:val="9"/>
  </w:num>
  <w:num w:numId="18">
    <w:abstractNumId w:val="15"/>
  </w:num>
  <w:num w:numId="19">
    <w:abstractNumId w:val="1"/>
  </w:num>
  <w:num w:numId="20">
    <w:abstractNumId w:val="13"/>
  </w:num>
  <w:num w:numId="21">
    <w:abstractNumId w:val="7"/>
  </w:num>
  <w:num w:numId="22">
    <w:abstractNumId w:val="17"/>
  </w:num>
  <w:num w:numId="23">
    <w:abstractNumId w:val="26"/>
  </w:num>
  <w:num w:numId="24">
    <w:abstractNumId w:val="22"/>
  </w:num>
  <w:num w:numId="25">
    <w:abstractNumId w:val="24"/>
  </w:num>
  <w:num w:numId="26">
    <w:abstractNumId w:val="18"/>
  </w:num>
  <w:num w:numId="27">
    <w:abstractNumId w:val="2"/>
  </w:num>
  <w:num w:numId="28">
    <w:abstractNumId w:val="14"/>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D3296C6-1FA4-458E-8BBE-5030794F0060"/>
    <w:docVar w:name="LW_COVERPAGE_TYPE" w:val="1"/>
    <w:docVar w:name="LW_CROSSREFERENCE" w:val="{COM(2026) 900 final} - {SWD(2026) 901 final} - {SWD(2026) 902 final} - {SWD(2026) 903 final} - {SWD(2026) 904 final} - {SWD(2026) 905 final} - {SWD(2026) 906 final} - {SWD(2026) 907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b_Country Chapter on the rule of law situation in Greece"/>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001"/>
    <w:rsid w:val="00000500"/>
    <w:rsid w:val="0000076B"/>
    <w:rsid w:val="00001EF9"/>
    <w:rsid w:val="00002B5F"/>
    <w:rsid w:val="000031E0"/>
    <w:rsid w:val="000032EB"/>
    <w:rsid w:val="000033BD"/>
    <w:rsid w:val="000047D1"/>
    <w:rsid w:val="00004841"/>
    <w:rsid w:val="0000485D"/>
    <w:rsid w:val="00004D91"/>
    <w:rsid w:val="00004E16"/>
    <w:rsid w:val="000056AD"/>
    <w:rsid w:val="00006089"/>
    <w:rsid w:val="0000617A"/>
    <w:rsid w:val="0000637A"/>
    <w:rsid w:val="00006B08"/>
    <w:rsid w:val="00007F8A"/>
    <w:rsid w:val="0001023D"/>
    <w:rsid w:val="00011005"/>
    <w:rsid w:val="000111DB"/>
    <w:rsid w:val="00011207"/>
    <w:rsid w:val="0001237A"/>
    <w:rsid w:val="0001283E"/>
    <w:rsid w:val="0001342B"/>
    <w:rsid w:val="00013D3E"/>
    <w:rsid w:val="00013FE5"/>
    <w:rsid w:val="00014925"/>
    <w:rsid w:val="00014DF3"/>
    <w:rsid w:val="00014E4A"/>
    <w:rsid w:val="0001562A"/>
    <w:rsid w:val="00016E3C"/>
    <w:rsid w:val="00017C16"/>
    <w:rsid w:val="00017CA5"/>
    <w:rsid w:val="00020B5E"/>
    <w:rsid w:val="00021CD8"/>
    <w:rsid w:val="00022112"/>
    <w:rsid w:val="0002406C"/>
    <w:rsid w:val="0002439B"/>
    <w:rsid w:val="00024D8D"/>
    <w:rsid w:val="00025431"/>
    <w:rsid w:val="000256E9"/>
    <w:rsid w:val="00025F57"/>
    <w:rsid w:val="000264D9"/>
    <w:rsid w:val="00026FAF"/>
    <w:rsid w:val="00027184"/>
    <w:rsid w:val="000275CD"/>
    <w:rsid w:val="00027F63"/>
    <w:rsid w:val="00032635"/>
    <w:rsid w:val="00032A6D"/>
    <w:rsid w:val="00032E44"/>
    <w:rsid w:val="00033123"/>
    <w:rsid w:val="00033414"/>
    <w:rsid w:val="00034C34"/>
    <w:rsid w:val="000361C4"/>
    <w:rsid w:val="0003644B"/>
    <w:rsid w:val="00036D25"/>
    <w:rsid w:val="00036D8A"/>
    <w:rsid w:val="000372A9"/>
    <w:rsid w:val="0003778F"/>
    <w:rsid w:val="00037B2A"/>
    <w:rsid w:val="00037BEE"/>
    <w:rsid w:val="00040F96"/>
    <w:rsid w:val="000415BE"/>
    <w:rsid w:val="00041ACD"/>
    <w:rsid w:val="0004215D"/>
    <w:rsid w:val="000422A6"/>
    <w:rsid w:val="00043A50"/>
    <w:rsid w:val="00044681"/>
    <w:rsid w:val="0004487F"/>
    <w:rsid w:val="00044881"/>
    <w:rsid w:val="00044937"/>
    <w:rsid w:val="0004518C"/>
    <w:rsid w:val="00045599"/>
    <w:rsid w:val="00045898"/>
    <w:rsid w:val="00046527"/>
    <w:rsid w:val="000508F3"/>
    <w:rsid w:val="00050CB4"/>
    <w:rsid w:val="00050EB0"/>
    <w:rsid w:val="000510D9"/>
    <w:rsid w:val="00051BBC"/>
    <w:rsid w:val="00051E17"/>
    <w:rsid w:val="00053035"/>
    <w:rsid w:val="000537AC"/>
    <w:rsid w:val="00054337"/>
    <w:rsid w:val="000552F6"/>
    <w:rsid w:val="00055614"/>
    <w:rsid w:val="000558AC"/>
    <w:rsid w:val="00055BC2"/>
    <w:rsid w:val="00055D3F"/>
    <w:rsid w:val="00055E42"/>
    <w:rsid w:val="00056429"/>
    <w:rsid w:val="0005747D"/>
    <w:rsid w:val="0005767A"/>
    <w:rsid w:val="00057D23"/>
    <w:rsid w:val="00057D60"/>
    <w:rsid w:val="00060822"/>
    <w:rsid w:val="00060C82"/>
    <w:rsid w:val="0006163D"/>
    <w:rsid w:val="00062EA6"/>
    <w:rsid w:val="00063289"/>
    <w:rsid w:val="000640C3"/>
    <w:rsid w:val="0006449E"/>
    <w:rsid w:val="000646C9"/>
    <w:rsid w:val="000649FB"/>
    <w:rsid w:val="00065557"/>
    <w:rsid w:val="0006555A"/>
    <w:rsid w:val="00066F65"/>
    <w:rsid w:val="0006756C"/>
    <w:rsid w:val="00070791"/>
    <w:rsid w:val="00070C6A"/>
    <w:rsid w:val="00072206"/>
    <w:rsid w:val="00072EC9"/>
    <w:rsid w:val="00073A9A"/>
    <w:rsid w:val="000741C5"/>
    <w:rsid w:val="0007423B"/>
    <w:rsid w:val="0007456A"/>
    <w:rsid w:val="00074937"/>
    <w:rsid w:val="00074B5B"/>
    <w:rsid w:val="000754FC"/>
    <w:rsid w:val="000767B0"/>
    <w:rsid w:val="000774D9"/>
    <w:rsid w:val="0007756D"/>
    <w:rsid w:val="00077A2C"/>
    <w:rsid w:val="000801BA"/>
    <w:rsid w:val="000820AE"/>
    <w:rsid w:val="000823E4"/>
    <w:rsid w:val="00082A78"/>
    <w:rsid w:val="00082D3A"/>
    <w:rsid w:val="00082E46"/>
    <w:rsid w:val="000830E3"/>
    <w:rsid w:val="000839BE"/>
    <w:rsid w:val="00083B46"/>
    <w:rsid w:val="00083D29"/>
    <w:rsid w:val="00084946"/>
    <w:rsid w:val="00084990"/>
    <w:rsid w:val="00084EBD"/>
    <w:rsid w:val="000854FB"/>
    <w:rsid w:val="000856C6"/>
    <w:rsid w:val="00086322"/>
    <w:rsid w:val="000865A0"/>
    <w:rsid w:val="00086791"/>
    <w:rsid w:val="000869B9"/>
    <w:rsid w:val="00087342"/>
    <w:rsid w:val="000875DA"/>
    <w:rsid w:val="0008792E"/>
    <w:rsid w:val="00090A4D"/>
    <w:rsid w:val="00091313"/>
    <w:rsid w:val="00092835"/>
    <w:rsid w:val="00094582"/>
    <w:rsid w:val="000954D5"/>
    <w:rsid w:val="00096FB0"/>
    <w:rsid w:val="000979C3"/>
    <w:rsid w:val="00097D40"/>
    <w:rsid w:val="00097F03"/>
    <w:rsid w:val="000A089B"/>
    <w:rsid w:val="000A09ED"/>
    <w:rsid w:val="000A1E2E"/>
    <w:rsid w:val="000A2C56"/>
    <w:rsid w:val="000A2FBB"/>
    <w:rsid w:val="000A395D"/>
    <w:rsid w:val="000A442E"/>
    <w:rsid w:val="000A45C2"/>
    <w:rsid w:val="000A4C37"/>
    <w:rsid w:val="000A51DD"/>
    <w:rsid w:val="000A60FA"/>
    <w:rsid w:val="000A6CFF"/>
    <w:rsid w:val="000A6EF9"/>
    <w:rsid w:val="000A7B9A"/>
    <w:rsid w:val="000B0CC6"/>
    <w:rsid w:val="000B0F0D"/>
    <w:rsid w:val="000B12D1"/>
    <w:rsid w:val="000B1DF4"/>
    <w:rsid w:val="000B2770"/>
    <w:rsid w:val="000B2B24"/>
    <w:rsid w:val="000B30EC"/>
    <w:rsid w:val="000B35D7"/>
    <w:rsid w:val="000B3733"/>
    <w:rsid w:val="000B38C1"/>
    <w:rsid w:val="000B4BCA"/>
    <w:rsid w:val="000B515E"/>
    <w:rsid w:val="000B544F"/>
    <w:rsid w:val="000B7858"/>
    <w:rsid w:val="000C0B9F"/>
    <w:rsid w:val="000C0CB7"/>
    <w:rsid w:val="000C0D97"/>
    <w:rsid w:val="000C0F13"/>
    <w:rsid w:val="000C41ED"/>
    <w:rsid w:val="000C4A43"/>
    <w:rsid w:val="000C5886"/>
    <w:rsid w:val="000C624C"/>
    <w:rsid w:val="000C69C8"/>
    <w:rsid w:val="000C7745"/>
    <w:rsid w:val="000D0018"/>
    <w:rsid w:val="000D1294"/>
    <w:rsid w:val="000D14AE"/>
    <w:rsid w:val="000D1596"/>
    <w:rsid w:val="000D2151"/>
    <w:rsid w:val="000D2D82"/>
    <w:rsid w:val="000D31FA"/>
    <w:rsid w:val="000D35AA"/>
    <w:rsid w:val="000D3F33"/>
    <w:rsid w:val="000D4E38"/>
    <w:rsid w:val="000D5EE6"/>
    <w:rsid w:val="000D5F40"/>
    <w:rsid w:val="000D6F4B"/>
    <w:rsid w:val="000D7C03"/>
    <w:rsid w:val="000D7D0D"/>
    <w:rsid w:val="000E0173"/>
    <w:rsid w:val="000E0319"/>
    <w:rsid w:val="000E0671"/>
    <w:rsid w:val="000E0A61"/>
    <w:rsid w:val="000E1445"/>
    <w:rsid w:val="000E1593"/>
    <w:rsid w:val="000E1C3E"/>
    <w:rsid w:val="000E2831"/>
    <w:rsid w:val="000E4BE5"/>
    <w:rsid w:val="000E4C63"/>
    <w:rsid w:val="000E4FE6"/>
    <w:rsid w:val="000E5867"/>
    <w:rsid w:val="000E78A3"/>
    <w:rsid w:val="000E7FCA"/>
    <w:rsid w:val="000F0AC5"/>
    <w:rsid w:val="000F0FA5"/>
    <w:rsid w:val="000F100C"/>
    <w:rsid w:val="000F131C"/>
    <w:rsid w:val="000F1656"/>
    <w:rsid w:val="000F1BB1"/>
    <w:rsid w:val="000F392F"/>
    <w:rsid w:val="000F3E3B"/>
    <w:rsid w:val="000F467C"/>
    <w:rsid w:val="000F5641"/>
    <w:rsid w:val="000F5E0D"/>
    <w:rsid w:val="000F7F24"/>
    <w:rsid w:val="00100034"/>
    <w:rsid w:val="00100D39"/>
    <w:rsid w:val="0010112A"/>
    <w:rsid w:val="00101ECD"/>
    <w:rsid w:val="00102058"/>
    <w:rsid w:val="0010209B"/>
    <w:rsid w:val="001035FB"/>
    <w:rsid w:val="00104120"/>
    <w:rsid w:val="00104B29"/>
    <w:rsid w:val="00106166"/>
    <w:rsid w:val="00107286"/>
    <w:rsid w:val="00107FAC"/>
    <w:rsid w:val="00111515"/>
    <w:rsid w:val="00112FD4"/>
    <w:rsid w:val="0011307E"/>
    <w:rsid w:val="00113766"/>
    <w:rsid w:val="00113CC3"/>
    <w:rsid w:val="00113E08"/>
    <w:rsid w:val="00115392"/>
    <w:rsid w:val="00115558"/>
    <w:rsid w:val="00115905"/>
    <w:rsid w:val="00116310"/>
    <w:rsid w:val="001167E1"/>
    <w:rsid w:val="0011730B"/>
    <w:rsid w:val="001175A3"/>
    <w:rsid w:val="0012016F"/>
    <w:rsid w:val="0012034B"/>
    <w:rsid w:val="00120EC1"/>
    <w:rsid w:val="0012108C"/>
    <w:rsid w:val="00121778"/>
    <w:rsid w:val="001219FC"/>
    <w:rsid w:val="00121BF8"/>
    <w:rsid w:val="00121F1B"/>
    <w:rsid w:val="00122118"/>
    <w:rsid w:val="001226E3"/>
    <w:rsid w:val="00122DB2"/>
    <w:rsid w:val="0012337C"/>
    <w:rsid w:val="0012424B"/>
    <w:rsid w:val="0012472D"/>
    <w:rsid w:val="00124AE5"/>
    <w:rsid w:val="00124E3B"/>
    <w:rsid w:val="001251E3"/>
    <w:rsid w:val="001251EB"/>
    <w:rsid w:val="00125A45"/>
    <w:rsid w:val="00125BC0"/>
    <w:rsid w:val="00125CD0"/>
    <w:rsid w:val="00125F8B"/>
    <w:rsid w:val="00126160"/>
    <w:rsid w:val="00127250"/>
    <w:rsid w:val="00127768"/>
    <w:rsid w:val="00130257"/>
    <w:rsid w:val="00131A76"/>
    <w:rsid w:val="00131D4B"/>
    <w:rsid w:val="00131FA9"/>
    <w:rsid w:val="001322EC"/>
    <w:rsid w:val="001329EA"/>
    <w:rsid w:val="00135C3B"/>
    <w:rsid w:val="00135EA3"/>
    <w:rsid w:val="00136CA5"/>
    <w:rsid w:val="001404F2"/>
    <w:rsid w:val="00140AA8"/>
    <w:rsid w:val="001418DB"/>
    <w:rsid w:val="00142A4D"/>
    <w:rsid w:val="0014345E"/>
    <w:rsid w:val="001436ED"/>
    <w:rsid w:val="0014399D"/>
    <w:rsid w:val="00143A78"/>
    <w:rsid w:val="00143ACC"/>
    <w:rsid w:val="0014514A"/>
    <w:rsid w:val="001455F4"/>
    <w:rsid w:val="00145797"/>
    <w:rsid w:val="00145D47"/>
    <w:rsid w:val="0014652A"/>
    <w:rsid w:val="00146DBC"/>
    <w:rsid w:val="00146FEC"/>
    <w:rsid w:val="00147C0A"/>
    <w:rsid w:val="00147E3B"/>
    <w:rsid w:val="00150024"/>
    <w:rsid w:val="00151567"/>
    <w:rsid w:val="00151897"/>
    <w:rsid w:val="00152528"/>
    <w:rsid w:val="00152817"/>
    <w:rsid w:val="0015295B"/>
    <w:rsid w:val="00152E38"/>
    <w:rsid w:val="00153D2B"/>
    <w:rsid w:val="001545E6"/>
    <w:rsid w:val="00155C92"/>
    <w:rsid w:val="00156A2A"/>
    <w:rsid w:val="001604D8"/>
    <w:rsid w:val="001604FE"/>
    <w:rsid w:val="0016142A"/>
    <w:rsid w:val="0016383B"/>
    <w:rsid w:val="0016392B"/>
    <w:rsid w:val="00163CDD"/>
    <w:rsid w:val="001664AB"/>
    <w:rsid w:val="0016676F"/>
    <w:rsid w:val="00166966"/>
    <w:rsid w:val="00170B43"/>
    <w:rsid w:val="0017165B"/>
    <w:rsid w:val="00171863"/>
    <w:rsid w:val="00171B14"/>
    <w:rsid w:val="00172394"/>
    <w:rsid w:val="00172CFA"/>
    <w:rsid w:val="00172F6D"/>
    <w:rsid w:val="00173155"/>
    <w:rsid w:val="00174219"/>
    <w:rsid w:val="00174569"/>
    <w:rsid w:val="00174CEB"/>
    <w:rsid w:val="00174D21"/>
    <w:rsid w:val="001751F1"/>
    <w:rsid w:val="001765CD"/>
    <w:rsid w:val="00177DAC"/>
    <w:rsid w:val="00180C84"/>
    <w:rsid w:val="001836CE"/>
    <w:rsid w:val="00183981"/>
    <w:rsid w:val="00184A52"/>
    <w:rsid w:val="00185020"/>
    <w:rsid w:val="001907F0"/>
    <w:rsid w:val="00190D14"/>
    <w:rsid w:val="00191147"/>
    <w:rsid w:val="001913DE"/>
    <w:rsid w:val="0019145A"/>
    <w:rsid w:val="001919B4"/>
    <w:rsid w:val="0019231C"/>
    <w:rsid w:val="00192439"/>
    <w:rsid w:val="00192F6A"/>
    <w:rsid w:val="001930F0"/>
    <w:rsid w:val="00195F52"/>
    <w:rsid w:val="00196425"/>
    <w:rsid w:val="00196685"/>
    <w:rsid w:val="00196CE9"/>
    <w:rsid w:val="00197159"/>
    <w:rsid w:val="00197755"/>
    <w:rsid w:val="001A029A"/>
    <w:rsid w:val="001A1A8C"/>
    <w:rsid w:val="001A1E11"/>
    <w:rsid w:val="001A1F07"/>
    <w:rsid w:val="001A2728"/>
    <w:rsid w:val="001A2E92"/>
    <w:rsid w:val="001A30BC"/>
    <w:rsid w:val="001A331F"/>
    <w:rsid w:val="001A3474"/>
    <w:rsid w:val="001A404C"/>
    <w:rsid w:val="001A40D4"/>
    <w:rsid w:val="001A4C93"/>
    <w:rsid w:val="001A4D64"/>
    <w:rsid w:val="001A4EEB"/>
    <w:rsid w:val="001A4FAB"/>
    <w:rsid w:val="001A56AF"/>
    <w:rsid w:val="001A64FF"/>
    <w:rsid w:val="001A70BE"/>
    <w:rsid w:val="001A7519"/>
    <w:rsid w:val="001A7857"/>
    <w:rsid w:val="001A7FE0"/>
    <w:rsid w:val="001B03B5"/>
    <w:rsid w:val="001B0A97"/>
    <w:rsid w:val="001B0B33"/>
    <w:rsid w:val="001B124A"/>
    <w:rsid w:val="001B125F"/>
    <w:rsid w:val="001B1AB2"/>
    <w:rsid w:val="001B2663"/>
    <w:rsid w:val="001B2C66"/>
    <w:rsid w:val="001B2F7D"/>
    <w:rsid w:val="001B3E26"/>
    <w:rsid w:val="001B4956"/>
    <w:rsid w:val="001B4E15"/>
    <w:rsid w:val="001B5716"/>
    <w:rsid w:val="001B623F"/>
    <w:rsid w:val="001B6253"/>
    <w:rsid w:val="001B6569"/>
    <w:rsid w:val="001B6BB5"/>
    <w:rsid w:val="001B711C"/>
    <w:rsid w:val="001B729F"/>
    <w:rsid w:val="001B72AC"/>
    <w:rsid w:val="001B7556"/>
    <w:rsid w:val="001C1A07"/>
    <w:rsid w:val="001C1C86"/>
    <w:rsid w:val="001C20AC"/>
    <w:rsid w:val="001C218C"/>
    <w:rsid w:val="001C2696"/>
    <w:rsid w:val="001C2D12"/>
    <w:rsid w:val="001C4A10"/>
    <w:rsid w:val="001C52EF"/>
    <w:rsid w:val="001C5682"/>
    <w:rsid w:val="001C59CB"/>
    <w:rsid w:val="001C682E"/>
    <w:rsid w:val="001C6F59"/>
    <w:rsid w:val="001D0646"/>
    <w:rsid w:val="001D188C"/>
    <w:rsid w:val="001D28BF"/>
    <w:rsid w:val="001D31F6"/>
    <w:rsid w:val="001D3CB7"/>
    <w:rsid w:val="001D5362"/>
    <w:rsid w:val="001D5D36"/>
    <w:rsid w:val="001D697C"/>
    <w:rsid w:val="001D69F1"/>
    <w:rsid w:val="001D7D70"/>
    <w:rsid w:val="001E01C8"/>
    <w:rsid w:val="001E160E"/>
    <w:rsid w:val="001E1FCB"/>
    <w:rsid w:val="001E2262"/>
    <w:rsid w:val="001E2566"/>
    <w:rsid w:val="001E39E1"/>
    <w:rsid w:val="001E43AD"/>
    <w:rsid w:val="001E5CF2"/>
    <w:rsid w:val="001E632D"/>
    <w:rsid w:val="001E649A"/>
    <w:rsid w:val="001E64DC"/>
    <w:rsid w:val="001E6941"/>
    <w:rsid w:val="001E6A98"/>
    <w:rsid w:val="001E6FFE"/>
    <w:rsid w:val="001F0257"/>
    <w:rsid w:val="001F0B3D"/>
    <w:rsid w:val="001F197F"/>
    <w:rsid w:val="001F367C"/>
    <w:rsid w:val="001F4318"/>
    <w:rsid w:val="001F5228"/>
    <w:rsid w:val="001F5B63"/>
    <w:rsid w:val="001F6241"/>
    <w:rsid w:val="001F6C26"/>
    <w:rsid w:val="001F7656"/>
    <w:rsid w:val="001F7BA3"/>
    <w:rsid w:val="00200769"/>
    <w:rsid w:val="00201012"/>
    <w:rsid w:val="002010F0"/>
    <w:rsid w:val="00201C3A"/>
    <w:rsid w:val="00202448"/>
    <w:rsid w:val="002026E1"/>
    <w:rsid w:val="00202C7B"/>
    <w:rsid w:val="00203955"/>
    <w:rsid w:val="00203D6F"/>
    <w:rsid w:val="0020406F"/>
    <w:rsid w:val="0020440E"/>
    <w:rsid w:val="00204938"/>
    <w:rsid w:val="002055DB"/>
    <w:rsid w:val="00205671"/>
    <w:rsid w:val="0020598C"/>
    <w:rsid w:val="00205C7F"/>
    <w:rsid w:val="00207171"/>
    <w:rsid w:val="00210050"/>
    <w:rsid w:val="00210333"/>
    <w:rsid w:val="00210FEC"/>
    <w:rsid w:val="0021114E"/>
    <w:rsid w:val="00211554"/>
    <w:rsid w:val="00212361"/>
    <w:rsid w:val="00212657"/>
    <w:rsid w:val="00212E85"/>
    <w:rsid w:val="0021316C"/>
    <w:rsid w:val="00213B91"/>
    <w:rsid w:val="00215F12"/>
    <w:rsid w:val="0021607D"/>
    <w:rsid w:val="0021686D"/>
    <w:rsid w:val="00217409"/>
    <w:rsid w:val="00217579"/>
    <w:rsid w:val="00217E1E"/>
    <w:rsid w:val="00220177"/>
    <w:rsid w:val="00220351"/>
    <w:rsid w:val="002203EA"/>
    <w:rsid w:val="00220987"/>
    <w:rsid w:val="00220A5C"/>
    <w:rsid w:val="00221AD8"/>
    <w:rsid w:val="002220CC"/>
    <w:rsid w:val="0022236A"/>
    <w:rsid w:val="002225C3"/>
    <w:rsid w:val="00222EE1"/>
    <w:rsid w:val="00223A0B"/>
    <w:rsid w:val="00223B51"/>
    <w:rsid w:val="00223F88"/>
    <w:rsid w:val="002240B6"/>
    <w:rsid w:val="00224D70"/>
    <w:rsid w:val="00224E88"/>
    <w:rsid w:val="00224F1E"/>
    <w:rsid w:val="0022527C"/>
    <w:rsid w:val="002266F4"/>
    <w:rsid w:val="00227FDB"/>
    <w:rsid w:val="002303A6"/>
    <w:rsid w:val="00230B73"/>
    <w:rsid w:val="00230E6C"/>
    <w:rsid w:val="00231427"/>
    <w:rsid w:val="00232056"/>
    <w:rsid w:val="00232EA6"/>
    <w:rsid w:val="0023367C"/>
    <w:rsid w:val="00233A59"/>
    <w:rsid w:val="002342F3"/>
    <w:rsid w:val="00234340"/>
    <w:rsid w:val="0023521A"/>
    <w:rsid w:val="00235F92"/>
    <w:rsid w:val="00236562"/>
    <w:rsid w:val="00236602"/>
    <w:rsid w:val="0023662F"/>
    <w:rsid w:val="00236F43"/>
    <w:rsid w:val="00237026"/>
    <w:rsid w:val="00237097"/>
    <w:rsid w:val="00237717"/>
    <w:rsid w:val="00237D75"/>
    <w:rsid w:val="0024147E"/>
    <w:rsid w:val="002417A6"/>
    <w:rsid w:val="00242046"/>
    <w:rsid w:val="00244081"/>
    <w:rsid w:val="00245AED"/>
    <w:rsid w:val="002460AD"/>
    <w:rsid w:val="00247898"/>
    <w:rsid w:val="00247DE0"/>
    <w:rsid w:val="0025008E"/>
    <w:rsid w:val="002512A1"/>
    <w:rsid w:val="002514A8"/>
    <w:rsid w:val="00251773"/>
    <w:rsid w:val="00251E7F"/>
    <w:rsid w:val="002523C9"/>
    <w:rsid w:val="002531E0"/>
    <w:rsid w:val="0025357B"/>
    <w:rsid w:val="00253795"/>
    <w:rsid w:val="00254D1E"/>
    <w:rsid w:val="002566D8"/>
    <w:rsid w:val="00257045"/>
    <w:rsid w:val="00257299"/>
    <w:rsid w:val="00257CA8"/>
    <w:rsid w:val="00260171"/>
    <w:rsid w:val="002606B9"/>
    <w:rsid w:val="002608D2"/>
    <w:rsid w:val="00260CEB"/>
    <w:rsid w:val="0026111C"/>
    <w:rsid w:val="00261CE7"/>
    <w:rsid w:val="00262613"/>
    <w:rsid w:val="0026271B"/>
    <w:rsid w:val="00262824"/>
    <w:rsid w:val="00262EFB"/>
    <w:rsid w:val="00263106"/>
    <w:rsid w:val="002633E4"/>
    <w:rsid w:val="00263871"/>
    <w:rsid w:val="00263D28"/>
    <w:rsid w:val="00263EF9"/>
    <w:rsid w:val="00264F51"/>
    <w:rsid w:val="0026532F"/>
    <w:rsid w:val="002658C6"/>
    <w:rsid w:val="00265B4B"/>
    <w:rsid w:val="00266DEE"/>
    <w:rsid w:val="00267053"/>
    <w:rsid w:val="00270036"/>
    <w:rsid w:val="0027066A"/>
    <w:rsid w:val="00270B31"/>
    <w:rsid w:val="00270DF5"/>
    <w:rsid w:val="0027145E"/>
    <w:rsid w:val="0027249C"/>
    <w:rsid w:val="002728AB"/>
    <w:rsid w:val="00272E89"/>
    <w:rsid w:val="0027301C"/>
    <w:rsid w:val="00273057"/>
    <w:rsid w:val="0027383F"/>
    <w:rsid w:val="00273977"/>
    <w:rsid w:val="002750DF"/>
    <w:rsid w:val="002750F9"/>
    <w:rsid w:val="002751E4"/>
    <w:rsid w:val="002761C8"/>
    <w:rsid w:val="0027625C"/>
    <w:rsid w:val="00276360"/>
    <w:rsid w:val="00277133"/>
    <w:rsid w:val="0027781A"/>
    <w:rsid w:val="00277898"/>
    <w:rsid w:val="002809C6"/>
    <w:rsid w:val="002816B5"/>
    <w:rsid w:val="00282311"/>
    <w:rsid w:val="00283957"/>
    <w:rsid w:val="002839BC"/>
    <w:rsid w:val="00283A03"/>
    <w:rsid w:val="00285694"/>
    <w:rsid w:val="00285F0F"/>
    <w:rsid w:val="002866B4"/>
    <w:rsid w:val="00286B87"/>
    <w:rsid w:val="0028725D"/>
    <w:rsid w:val="00290842"/>
    <w:rsid w:val="00290AD9"/>
    <w:rsid w:val="00291D81"/>
    <w:rsid w:val="00293444"/>
    <w:rsid w:val="00293C64"/>
    <w:rsid w:val="00293C7D"/>
    <w:rsid w:val="00293EC2"/>
    <w:rsid w:val="00294E02"/>
    <w:rsid w:val="00294F73"/>
    <w:rsid w:val="00295A4F"/>
    <w:rsid w:val="00295BB9"/>
    <w:rsid w:val="00295BBA"/>
    <w:rsid w:val="00296448"/>
    <w:rsid w:val="00296984"/>
    <w:rsid w:val="002A0E4F"/>
    <w:rsid w:val="002A103D"/>
    <w:rsid w:val="002A1830"/>
    <w:rsid w:val="002A1E5C"/>
    <w:rsid w:val="002A3625"/>
    <w:rsid w:val="002A375C"/>
    <w:rsid w:val="002A3C50"/>
    <w:rsid w:val="002A4364"/>
    <w:rsid w:val="002A51F1"/>
    <w:rsid w:val="002A55D4"/>
    <w:rsid w:val="002A5620"/>
    <w:rsid w:val="002A67DE"/>
    <w:rsid w:val="002A6E27"/>
    <w:rsid w:val="002A7245"/>
    <w:rsid w:val="002A7278"/>
    <w:rsid w:val="002A7813"/>
    <w:rsid w:val="002A78EF"/>
    <w:rsid w:val="002A7FF9"/>
    <w:rsid w:val="002B09E8"/>
    <w:rsid w:val="002B1403"/>
    <w:rsid w:val="002B163D"/>
    <w:rsid w:val="002B1EB1"/>
    <w:rsid w:val="002B2052"/>
    <w:rsid w:val="002B29C7"/>
    <w:rsid w:val="002B29D2"/>
    <w:rsid w:val="002B2AF3"/>
    <w:rsid w:val="002B2CDF"/>
    <w:rsid w:val="002B3CA2"/>
    <w:rsid w:val="002B423F"/>
    <w:rsid w:val="002B484B"/>
    <w:rsid w:val="002B4AB1"/>
    <w:rsid w:val="002B5283"/>
    <w:rsid w:val="002B54C0"/>
    <w:rsid w:val="002B6242"/>
    <w:rsid w:val="002B680B"/>
    <w:rsid w:val="002B71CB"/>
    <w:rsid w:val="002C006C"/>
    <w:rsid w:val="002C00BF"/>
    <w:rsid w:val="002C09BD"/>
    <w:rsid w:val="002C0E96"/>
    <w:rsid w:val="002C2B64"/>
    <w:rsid w:val="002C2D3D"/>
    <w:rsid w:val="002C414A"/>
    <w:rsid w:val="002C41B8"/>
    <w:rsid w:val="002C4A39"/>
    <w:rsid w:val="002C4D6D"/>
    <w:rsid w:val="002C4DB3"/>
    <w:rsid w:val="002C5893"/>
    <w:rsid w:val="002C595E"/>
    <w:rsid w:val="002C606F"/>
    <w:rsid w:val="002C6105"/>
    <w:rsid w:val="002C755D"/>
    <w:rsid w:val="002D17EC"/>
    <w:rsid w:val="002D1C4F"/>
    <w:rsid w:val="002D3BB6"/>
    <w:rsid w:val="002D4B83"/>
    <w:rsid w:val="002D4D3E"/>
    <w:rsid w:val="002D51F2"/>
    <w:rsid w:val="002D54DD"/>
    <w:rsid w:val="002D5F1F"/>
    <w:rsid w:val="002D740C"/>
    <w:rsid w:val="002D7664"/>
    <w:rsid w:val="002E0F85"/>
    <w:rsid w:val="002E1D86"/>
    <w:rsid w:val="002E25A7"/>
    <w:rsid w:val="002E30D9"/>
    <w:rsid w:val="002E3DDC"/>
    <w:rsid w:val="002E463B"/>
    <w:rsid w:val="002E4B60"/>
    <w:rsid w:val="002E4C66"/>
    <w:rsid w:val="002E554B"/>
    <w:rsid w:val="002E5A62"/>
    <w:rsid w:val="002E64E8"/>
    <w:rsid w:val="002E68E0"/>
    <w:rsid w:val="002E6B40"/>
    <w:rsid w:val="002E6E85"/>
    <w:rsid w:val="002E7198"/>
    <w:rsid w:val="002F04F4"/>
    <w:rsid w:val="002F0AF5"/>
    <w:rsid w:val="002F127E"/>
    <w:rsid w:val="002F2332"/>
    <w:rsid w:val="002F322A"/>
    <w:rsid w:val="002F367F"/>
    <w:rsid w:val="002F425A"/>
    <w:rsid w:val="002F47D0"/>
    <w:rsid w:val="002F4875"/>
    <w:rsid w:val="002F4D4B"/>
    <w:rsid w:val="002F5BCD"/>
    <w:rsid w:val="002F7E02"/>
    <w:rsid w:val="003009EA"/>
    <w:rsid w:val="00300EDC"/>
    <w:rsid w:val="00303B81"/>
    <w:rsid w:val="00303D02"/>
    <w:rsid w:val="00303DD5"/>
    <w:rsid w:val="003054B5"/>
    <w:rsid w:val="00305F95"/>
    <w:rsid w:val="00306941"/>
    <w:rsid w:val="00307069"/>
    <w:rsid w:val="00307107"/>
    <w:rsid w:val="003073F7"/>
    <w:rsid w:val="0030788F"/>
    <w:rsid w:val="00307B7E"/>
    <w:rsid w:val="0031017E"/>
    <w:rsid w:val="00310709"/>
    <w:rsid w:val="00310E46"/>
    <w:rsid w:val="0031229F"/>
    <w:rsid w:val="0031230A"/>
    <w:rsid w:val="0031237F"/>
    <w:rsid w:val="00314E02"/>
    <w:rsid w:val="00314F95"/>
    <w:rsid w:val="00315243"/>
    <w:rsid w:val="003159FF"/>
    <w:rsid w:val="00315B28"/>
    <w:rsid w:val="003173E3"/>
    <w:rsid w:val="00317D41"/>
    <w:rsid w:val="00320373"/>
    <w:rsid w:val="00320F58"/>
    <w:rsid w:val="003213B4"/>
    <w:rsid w:val="003214F2"/>
    <w:rsid w:val="003215D5"/>
    <w:rsid w:val="003215E4"/>
    <w:rsid w:val="00321BA6"/>
    <w:rsid w:val="00322114"/>
    <w:rsid w:val="003225E4"/>
    <w:rsid w:val="003225EC"/>
    <w:rsid w:val="00322B5C"/>
    <w:rsid w:val="00322D67"/>
    <w:rsid w:val="0032355A"/>
    <w:rsid w:val="0032433C"/>
    <w:rsid w:val="003257FD"/>
    <w:rsid w:val="0032597A"/>
    <w:rsid w:val="003260E5"/>
    <w:rsid w:val="00330C09"/>
    <w:rsid w:val="0033123A"/>
    <w:rsid w:val="003319AA"/>
    <w:rsid w:val="00331C04"/>
    <w:rsid w:val="00331E7B"/>
    <w:rsid w:val="00332071"/>
    <w:rsid w:val="00332BBD"/>
    <w:rsid w:val="00332BF0"/>
    <w:rsid w:val="003333E6"/>
    <w:rsid w:val="0033390C"/>
    <w:rsid w:val="00333BEB"/>
    <w:rsid w:val="003340B5"/>
    <w:rsid w:val="00334DA6"/>
    <w:rsid w:val="003361A4"/>
    <w:rsid w:val="00336481"/>
    <w:rsid w:val="00336FBD"/>
    <w:rsid w:val="003404E8"/>
    <w:rsid w:val="003441F3"/>
    <w:rsid w:val="00344A40"/>
    <w:rsid w:val="00344DC2"/>
    <w:rsid w:val="0034567A"/>
    <w:rsid w:val="0034703D"/>
    <w:rsid w:val="003473B9"/>
    <w:rsid w:val="00347D60"/>
    <w:rsid w:val="00351609"/>
    <w:rsid w:val="00352659"/>
    <w:rsid w:val="00353289"/>
    <w:rsid w:val="0035357C"/>
    <w:rsid w:val="00353A1D"/>
    <w:rsid w:val="00354333"/>
    <w:rsid w:val="00354E62"/>
    <w:rsid w:val="003558CB"/>
    <w:rsid w:val="00355F31"/>
    <w:rsid w:val="003562AC"/>
    <w:rsid w:val="00356A90"/>
    <w:rsid w:val="00357B8D"/>
    <w:rsid w:val="00357C6A"/>
    <w:rsid w:val="00357DC3"/>
    <w:rsid w:val="003602D5"/>
    <w:rsid w:val="00360835"/>
    <w:rsid w:val="003629D5"/>
    <w:rsid w:val="00363136"/>
    <w:rsid w:val="003641E1"/>
    <w:rsid w:val="00364828"/>
    <w:rsid w:val="00365920"/>
    <w:rsid w:val="00366288"/>
    <w:rsid w:val="0036674A"/>
    <w:rsid w:val="0036693B"/>
    <w:rsid w:val="00366AA0"/>
    <w:rsid w:val="00366CBA"/>
    <w:rsid w:val="003700A3"/>
    <w:rsid w:val="00370C0A"/>
    <w:rsid w:val="003711C5"/>
    <w:rsid w:val="003720DC"/>
    <w:rsid w:val="0037244F"/>
    <w:rsid w:val="003725B8"/>
    <w:rsid w:val="00373282"/>
    <w:rsid w:val="003734F0"/>
    <w:rsid w:val="00373620"/>
    <w:rsid w:val="0037368A"/>
    <w:rsid w:val="003736AE"/>
    <w:rsid w:val="00374BBC"/>
    <w:rsid w:val="00375C72"/>
    <w:rsid w:val="003762B1"/>
    <w:rsid w:val="00376420"/>
    <w:rsid w:val="00376F08"/>
    <w:rsid w:val="00377B54"/>
    <w:rsid w:val="00377E37"/>
    <w:rsid w:val="003801FE"/>
    <w:rsid w:val="00381C94"/>
    <w:rsid w:val="00381F27"/>
    <w:rsid w:val="00382A4A"/>
    <w:rsid w:val="00382F41"/>
    <w:rsid w:val="003830D5"/>
    <w:rsid w:val="00383C39"/>
    <w:rsid w:val="00384835"/>
    <w:rsid w:val="00384B58"/>
    <w:rsid w:val="00384FDE"/>
    <w:rsid w:val="003874F4"/>
    <w:rsid w:val="00387683"/>
    <w:rsid w:val="00387B03"/>
    <w:rsid w:val="00387C37"/>
    <w:rsid w:val="00387FFB"/>
    <w:rsid w:val="00390189"/>
    <w:rsid w:val="003907E5"/>
    <w:rsid w:val="003909DF"/>
    <w:rsid w:val="003920FB"/>
    <w:rsid w:val="0039218C"/>
    <w:rsid w:val="00392A95"/>
    <w:rsid w:val="00392C7C"/>
    <w:rsid w:val="00393BE0"/>
    <w:rsid w:val="0039430A"/>
    <w:rsid w:val="0039594D"/>
    <w:rsid w:val="0039631D"/>
    <w:rsid w:val="00396C1D"/>
    <w:rsid w:val="003970E8"/>
    <w:rsid w:val="00397E4D"/>
    <w:rsid w:val="003A01BD"/>
    <w:rsid w:val="003A0337"/>
    <w:rsid w:val="003A0DCC"/>
    <w:rsid w:val="003A0F93"/>
    <w:rsid w:val="003A1578"/>
    <w:rsid w:val="003A1778"/>
    <w:rsid w:val="003A23F3"/>
    <w:rsid w:val="003A30B3"/>
    <w:rsid w:val="003A380B"/>
    <w:rsid w:val="003A3B9A"/>
    <w:rsid w:val="003A4630"/>
    <w:rsid w:val="003A4BA6"/>
    <w:rsid w:val="003A5FA6"/>
    <w:rsid w:val="003A6AD5"/>
    <w:rsid w:val="003A7676"/>
    <w:rsid w:val="003A793D"/>
    <w:rsid w:val="003B0919"/>
    <w:rsid w:val="003B0FC7"/>
    <w:rsid w:val="003B1218"/>
    <w:rsid w:val="003B15FE"/>
    <w:rsid w:val="003B2538"/>
    <w:rsid w:val="003B2687"/>
    <w:rsid w:val="003B31D3"/>
    <w:rsid w:val="003B3964"/>
    <w:rsid w:val="003B4023"/>
    <w:rsid w:val="003B4276"/>
    <w:rsid w:val="003B469E"/>
    <w:rsid w:val="003B5ECC"/>
    <w:rsid w:val="003B6568"/>
    <w:rsid w:val="003B7282"/>
    <w:rsid w:val="003C0AAE"/>
    <w:rsid w:val="003C0F99"/>
    <w:rsid w:val="003C198F"/>
    <w:rsid w:val="003C2AC4"/>
    <w:rsid w:val="003C2B8C"/>
    <w:rsid w:val="003C3269"/>
    <w:rsid w:val="003C33D9"/>
    <w:rsid w:val="003C4544"/>
    <w:rsid w:val="003C50E1"/>
    <w:rsid w:val="003C6A9C"/>
    <w:rsid w:val="003C7748"/>
    <w:rsid w:val="003D0C51"/>
    <w:rsid w:val="003D0E03"/>
    <w:rsid w:val="003D28CD"/>
    <w:rsid w:val="003D2BC4"/>
    <w:rsid w:val="003D3C8D"/>
    <w:rsid w:val="003D3F59"/>
    <w:rsid w:val="003D45E4"/>
    <w:rsid w:val="003D4C42"/>
    <w:rsid w:val="003D6843"/>
    <w:rsid w:val="003D7119"/>
    <w:rsid w:val="003D7538"/>
    <w:rsid w:val="003D7928"/>
    <w:rsid w:val="003D7FBC"/>
    <w:rsid w:val="003E05C8"/>
    <w:rsid w:val="003E0BBF"/>
    <w:rsid w:val="003E1AB3"/>
    <w:rsid w:val="003E26A8"/>
    <w:rsid w:val="003E2A04"/>
    <w:rsid w:val="003E2ACA"/>
    <w:rsid w:val="003E32AC"/>
    <w:rsid w:val="003E439A"/>
    <w:rsid w:val="003E4599"/>
    <w:rsid w:val="003E4E21"/>
    <w:rsid w:val="003E627E"/>
    <w:rsid w:val="003E6F1D"/>
    <w:rsid w:val="003E7934"/>
    <w:rsid w:val="003F0CDF"/>
    <w:rsid w:val="003F1394"/>
    <w:rsid w:val="003F2525"/>
    <w:rsid w:val="003F3B47"/>
    <w:rsid w:val="003F3C67"/>
    <w:rsid w:val="003F441F"/>
    <w:rsid w:val="003F4517"/>
    <w:rsid w:val="003F483B"/>
    <w:rsid w:val="003F4ED8"/>
    <w:rsid w:val="003F682D"/>
    <w:rsid w:val="003F6D7F"/>
    <w:rsid w:val="004003DA"/>
    <w:rsid w:val="00400D91"/>
    <w:rsid w:val="004027CA"/>
    <w:rsid w:val="00403028"/>
    <w:rsid w:val="004032AA"/>
    <w:rsid w:val="00403466"/>
    <w:rsid w:val="004034DD"/>
    <w:rsid w:val="00403994"/>
    <w:rsid w:val="00404397"/>
    <w:rsid w:val="0040510C"/>
    <w:rsid w:val="00406120"/>
    <w:rsid w:val="00406359"/>
    <w:rsid w:val="004070CE"/>
    <w:rsid w:val="00407799"/>
    <w:rsid w:val="004107FF"/>
    <w:rsid w:val="004113ED"/>
    <w:rsid w:val="0041174A"/>
    <w:rsid w:val="004117FB"/>
    <w:rsid w:val="00411AC8"/>
    <w:rsid w:val="0041270A"/>
    <w:rsid w:val="00413C9C"/>
    <w:rsid w:val="00414CE1"/>
    <w:rsid w:val="0041609A"/>
    <w:rsid w:val="0041642B"/>
    <w:rsid w:val="0041763C"/>
    <w:rsid w:val="00417916"/>
    <w:rsid w:val="00417AE1"/>
    <w:rsid w:val="004203F8"/>
    <w:rsid w:val="0042072D"/>
    <w:rsid w:val="004211E0"/>
    <w:rsid w:val="004226CA"/>
    <w:rsid w:val="004231C3"/>
    <w:rsid w:val="00423788"/>
    <w:rsid w:val="00426148"/>
    <w:rsid w:val="0043018C"/>
    <w:rsid w:val="00430215"/>
    <w:rsid w:val="00430690"/>
    <w:rsid w:val="00430EDC"/>
    <w:rsid w:val="00431121"/>
    <w:rsid w:val="00431483"/>
    <w:rsid w:val="00431BAD"/>
    <w:rsid w:val="00431C3D"/>
    <w:rsid w:val="00431D29"/>
    <w:rsid w:val="00432FC4"/>
    <w:rsid w:val="0043306C"/>
    <w:rsid w:val="00433179"/>
    <w:rsid w:val="00433975"/>
    <w:rsid w:val="00433B8E"/>
    <w:rsid w:val="004346A1"/>
    <w:rsid w:val="00435598"/>
    <w:rsid w:val="00436544"/>
    <w:rsid w:val="00436D89"/>
    <w:rsid w:val="0043715A"/>
    <w:rsid w:val="004374F3"/>
    <w:rsid w:val="004375AE"/>
    <w:rsid w:val="00437616"/>
    <w:rsid w:val="00437927"/>
    <w:rsid w:val="00440668"/>
    <w:rsid w:val="00441359"/>
    <w:rsid w:val="00441C0D"/>
    <w:rsid w:val="00441E83"/>
    <w:rsid w:val="00441F66"/>
    <w:rsid w:val="004421B7"/>
    <w:rsid w:val="004423C1"/>
    <w:rsid w:val="00442C7A"/>
    <w:rsid w:val="00444EC9"/>
    <w:rsid w:val="00445BCE"/>
    <w:rsid w:val="00446BD4"/>
    <w:rsid w:val="004471D5"/>
    <w:rsid w:val="00447DB2"/>
    <w:rsid w:val="004523BF"/>
    <w:rsid w:val="00452B6E"/>
    <w:rsid w:val="00452CFE"/>
    <w:rsid w:val="00453EAA"/>
    <w:rsid w:val="00455565"/>
    <w:rsid w:val="00455B8A"/>
    <w:rsid w:val="00455D33"/>
    <w:rsid w:val="00456C8A"/>
    <w:rsid w:val="00456F4A"/>
    <w:rsid w:val="00456F57"/>
    <w:rsid w:val="00460E89"/>
    <w:rsid w:val="004617FE"/>
    <w:rsid w:val="00462D04"/>
    <w:rsid w:val="00463139"/>
    <w:rsid w:val="00463E9D"/>
    <w:rsid w:val="00463F20"/>
    <w:rsid w:val="00464282"/>
    <w:rsid w:val="004653DE"/>
    <w:rsid w:val="00465E29"/>
    <w:rsid w:val="00466CD2"/>
    <w:rsid w:val="00466DDB"/>
    <w:rsid w:val="00467D7F"/>
    <w:rsid w:val="004706D3"/>
    <w:rsid w:val="00470978"/>
    <w:rsid w:val="00470E33"/>
    <w:rsid w:val="00470EDD"/>
    <w:rsid w:val="00471DFF"/>
    <w:rsid w:val="00472741"/>
    <w:rsid w:val="004729E7"/>
    <w:rsid w:val="00475027"/>
    <w:rsid w:val="004752E1"/>
    <w:rsid w:val="0047554A"/>
    <w:rsid w:val="004755AC"/>
    <w:rsid w:val="00477CB6"/>
    <w:rsid w:val="0048061C"/>
    <w:rsid w:val="0048276B"/>
    <w:rsid w:val="00482859"/>
    <w:rsid w:val="00483A33"/>
    <w:rsid w:val="004841C3"/>
    <w:rsid w:val="00484671"/>
    <w:rsid w:val="004849AB"/>
    <w:rsid w:val="00484B82"/>
    <w:rsid w:val="00484BB2"/>
    <w:rsid w:val="00484CD4"/>
    <w:rsid w:val="0048534D"/>
    <w:rsid w:val="004853FA"/>
    <w:rsid w:val="0048557B"/>
    <w:rsid w:val="00485E9A"/>
    <w:rsid w:val="00486258"/>
    <w:rsid w:val="00486542"/>
    <w:rsid w:val="0048753E"/>
    <w:rsid w:val="00487787"/>
    <w:rsid w:val="00487D03"/>
    <w:rsid w:val="00487F07"/>
    <w:rsid w:val="00490FF8"/>
    <w:rsid w:val="0049164E"/>
    <w:rsid w:val="00491702"/>
    <w:rsid w:val="00493B53"/>
    <w:rsid w:val="004940B5"/>
    <w:rsid w:val="00494ECF"/>
    <w:rsid w:val="00495113"/>
    <w:rsid w:val="00495632"/>
    <w:rsid w:val="00497DF6"/>
    <w:rsid w:val="004A0859"/>
    <w:rsid w:val="004A0D14"/>
    <w:rsid w:val="004A13EF"/>
    <w:rsid w:val="004A2699"/>
    <w:rsid w:val="004A303F"/>
    <w:rsid w:val="004A412E"/>
    <w:rsid w:val="004A4198"/>
    <w:rsid w:val="004A4356"/>
    <w:rsid w:val="004A496A"/>
    <w:rsid w:val="004A4CE9"/>
    <w:rsid w:val="004A702F"/>
    <w:rsid w:val="004A7676"/>
    <w:rsid w:val="004B00F7"/>
    <w:rsid w:val="004B0111"/>
    <w:rsid w:val="004B033C"/>
    <w:rsid w:val="004B0447"/>
    <w:rsid w:val="004B0943"/>
    <w:rsid w:val="004B1B09"/>
    <w:rsid w:val="004B1CE0"/>
    <w:rsid w:val="004B2741"/>
    <w:rsid w:val="004B2E84"/>
    <w:rsid w:val="004B35A9"/>
    <w:rsid w:val="004B4C59"/>
    <w:rsid w:val="004B57C6"/>
    <w:rsid w:val="004B6DFD"/>
    <w:rsid w:val="004B7135"/>
    <w:rsid w:val="004B7572"/>
    <w:rsid w:val="004B7822"/>
    <w:rsid w:val="004B7DA5"/>
    <w:rsid w:val="004B7F48"/>
    <w:rsid w:val="004C0896"/>
    <w:rsid w:val="004C0A6B"/>
    <w:rsid w:val="004C160F"/>
    <w:rsid w:val="004C1622"/>
    <w:rsid w:val="004C188E"/>
    <w:rsid w:val="004C1D0D"/>
    <w:rsid w:val="004C1D23"/>
    <w:rsid w:val="004C1EE6"/>
    <w:rsid w:val="004C20D5"/>
    <w:rsid w:val="004C2493"/>
    <w:rsid w:val="004C2C79"/>
    <w:rsid w:val="004C322F"/>
    <w:rsid w:val="004C3684"/>
    <w:rsid w:val="004C3882"/>
    <w:rsid w:val="004C406D"/>
    <w:rsid w:val="004C4289"/>
    <w:rsid w:val="004C459A"/>
    <w:rsid w:val="004C5684"/>
    <w:rsid w:val="004C6023"/>
    <w:rsid w:val="004C6344"/>
    <w:rsid w:val="004C6AAE"/>
    <w:rsid w:val="004C7147"/>
    <w:rsid w:val="004D02F6"/>
    <w:rsid w:val="004D1120"/>
    <w:rsid w:val="004D124E"/>
    <w:rsid w:val="004D1811"/>
    <w:rsid w:val="004D1AC0"/>
    <w:rsid w:val="004D2285"/>
    <w:rsid w:val="004D2BDE"/>
    <w:rsid w:val="004D2BE9"/>
    <w:rsid w:val="004D4286"/>
    <w:rsid w:val="004D61BB"/>
    <w:rsid w:val="004D63FC"/>
    <w:rsid w:val="004D656E"/>
    <w:rsid w:val="004D7780"/>
    <w:rsid w:val="004E0714"/>
    <w:rsid w:val="004E0824"/>
    <w:rsid w:val="004E08B6"/>
    <w:rsid w:val="004E2035"/>
    <w:rsid w:val="004E29EA"/>
    <w:rsid w:val="004E2A1A"/>
    <w:rsid w:val="004E3111"/>
    <w:rsid w:val="004E31DE"/>
    <w:rsid w:val="004E3577"/>
    <w:rsid w:val="004E386B"/>
    <w:rsid w:val="004E40CF"/>
    <w:rsid w:val="004E4AEC"/>
    <w:rsid w:val="004E60AA"/>
    <w:rsid w:val="004E6B13"/>
    <w:rsid w:val="004E73EB"/>
    <w:rsid w:val="004F097B"/>
    <w:rsid w:val="004F1545"/>
    <w:rsid w:val="004F1662"/>
    <w:rsid w:val="004F1C91"/>
    <w:rsid w:val="004F2617"/>
    <w:rsid w:val="004F327D"/>
    <w:rsid w:val="004F3941"/>
    <w:rsid w:val="004F3CF3"/>
    <w:rsid w:val="004F418B"/>
    <w:rsid w:val="004F4D50"/>
    <w:rsid w:val="004F4E02"/>
    <w:rsid w:val="004F4FE9"/>
    <w:rsid w:val="004F51D0"/>
    <w:rsid w:val="004F7465"/>
    <w:rsid w:val="00500639"/>
    <w:rsid w:val="0050131B"/>
    <w:rsid w:val="0050174F"/>
    <w:rsid w:val="00501F5B"/>
    <w:rsid w:val="00502992"/>
    <w:rsid w:val="00502F97"/>
    <w:rsid w:val="005038DD"/>
    <w:rsid w:val="00503C4B"/>
    <w:rsid w:val="00504968"/>
    <w:rsid w:val="005055AF"/>
    <w:rsid w:val="00505C8E"/>
    <w:rsid w:val="005067CA"/>
    <w:rsid w:val="00506C83"/>
    <w:rsid w:val="00506D0C"/>
    <w:rsid w:val="005072CB"/>
    <w:rsid w:val="00507EFC"/>
    <w:rsid w:val="00510058"/>
    <w:rsid w:val="005105A4"/>
    <w:rsid w:val="00510759"/>
    <w:rsid w:val="00511950"/>
    <w:rsid w:val="005128AF"/>
    <w:rsid w:val="00513CBF"/>
    <w:rsid w:val="00514B9C"/>
    <w:rsid w:val="00514EEE"/>
    <w:rsid w:val="00516488"/>
    <w:rsid w:val="00516B72"/>
    <w:rsid w:val="00516DF7"/>
    <w:rsid w:val="00517E7C"/>
    <w:rsid w:val="00517F10"/>
    <w:rsid w:val="005206A4"/>
    <w:rsid w:val="00520C96"/>
    <w:rsid w:val="00520DF7"/>
    <w:rsid w:val="0052107A"/>
    <w:rsid w:val="00521CCD"/>
    <w:rsid w:val="00523ACA"/>
    <w:rsid w:val="00524513"/>
    <w:rsid w:val="0052476C"/>
    <w:rsid w:val="00524B26"/>
    <w:rsid w:val="0052525C"/>
    <w:rsid w:val="00525501"/>
    <w:rsid w:val="00525C88"/>
    <w:rsid w:val="00526234"/>
    <w:rsid w:val="00526749"/>
    <w:rsid w:val="00526AFA"/>
    <w:rsid w:val="00526BBD"/>
    <w:rsid w:val="00526F79"/>
    <w:rsid w:val="00527050"/>
    <w:rsid w:val="00527C45"/>
    <w:rsid w:val="0053212E"/>
    <w:rsid w:val="00532746"/>
    <w:rsid w:val="00532BE2"/>
    <w:rsid w:val="0053326A"/>
    <w:rsid w:val="00533EAC"/>
    <w:rsid w:val="005343D3"/>
    <w:rsid w:val="00534D19"/>
    <w:rsid w:val="00534EE8"/>
    <w:rsid w:val="0053543C"/>
    <w:rsid w:val="00535D2E"/>
    <w:rsid w:val="00535D66"/>
    <w:rsid w:val="00536DCB"/>
    <w:rsid w:val="00536E5C"/>
    <w:rsid w:val="0053765F"/>
    <w:rsid w:val="00537B39"/>
    <w:rsid w:val="0054055E"/>
    <w:rsid w:val="005408B9"/>
    <w:rsid w:val="00540C8F"/>
    <w:rsid w:val="00540D32"/>
    <w:rsid w:val="00540E5D"/>
    <w:rsid w:val="00541230"/>
    <w:rsid w:val="00543287"/>
    <w:rsid w:val="00543373"/>
    <w:rsid w:val="005435AE"/>
    <w:rsid w:val="005440D9"/>
    <w:rsid w:val="00544AAD"/>
    <w:rsid w:val="00544B1C"/>
    <w:rsid w:val="00544D8C"/>
    <w:rsid w:val="0054716B"/>
    <w:rsid w:val="00547B21"/>
    <w:rsid w:val="00547F69"/>
    <w:rsid w:val="00551B55"/>
    <w:rsid w:val="00551EE2"/>
    <w:rsid w:val="0055227E"/>
    <w:rsid w:val="00552424"/>
    <w:rsid w:val="00552CC6"/>
    <w:rsid w:val="00552D7C"/>
    <w:rsid w:val="005530F4"/>
    <w:rsid w:val="00553262"/>
    <w:rsid w:val="0055341C"/>
    <w:rsid w:val="00553A45"/>
    <w:rsid w:val="00554680"/>
    <w:rsid w:val="0055555F"/>
    <w:rsid w:val="0055565D"/>
    <w:rsid w:val="00555837"/>
    <w:rsid w:val="0055677A"/>
    <w:rsid w:val="005579AB"/>
    <w:rsid w:val="00557A12"/>
    <w:rsid w:val="005602C7"/>
    <w:rsid w:val="005612DB"/>
    <w:rsid w:val="005615CA"/>
    <w:rsid w:val="00562010"/>
    <w:rsid w:val="005620EA"/>
    <w:rsid w:val="005624E7"/>
    <w:rsid w:val="00562E10"/>
    <w:rsid w:val="00563A65"/>
    <w:rsid w:val="00563DC9"/>
    <w:rsid w:val="00565970"/>
    <w:rsid w:val="00565B4B"/>
    <w:rsid w:val="005660C9"/>
    <w:rsid w:val="00566FDF"/>
    <w:rsid w:val="00567047"/>
    <w:rsid w:val="005709B1"/>
    <w:rsid w:val="00570A22"/>
    <w:rsid w:val="00572C2A"/>
    <w:rsid w:val="005732BD"/>
    <w:rsid w:val="00574A03"/>
    <w:rsid w:val="00575180"/>
    <w:rsid w:val="0057685F"/>
    <w:rsid w:val="00577DC4"/>
    <w:rsid w:val="00577EA9"/>
    <w:rsid w:val="0058023F"/>
    <w:rsid w:val="00580920"/>
    <w:rsid w:val="00580AB0"/>
    <w:rsid w:val="00581EAC"/>
    <w:rsid w:val="00582170"/>
    <w:rsid w:val="00582437"/>
    <w:rsid w:val="00582AA2"/>
    <w:rsid w:val="00583B0A"/>
    <w:rsid w:val="00583FBF"/>
    <w:rsid w:val="005841EB"/>
    <w:rsid w:val="005844B9"/>
    <w:rsid w:val="00585412"/>
    <w:rsid w:val="0058710F"/>
    <w:rsid w:val="0058775B"/>
    <w:rsid w:val="00587A44"/>
    <w:rsid w:val="00590042"/>
    <w:rsid w:val="0059035D"/>
    <w:rsid w:val="005905F1"/>
    <w:rsid w:val="00590AB7"/>
    <w:rsid w:val="005929AB"/>
    <w:rsid w:val="005934D3"/>
    <w:rsid w:val="00593CFD"/>
    <w:rsid w:val="005953CD"/>
    <w:rsid w:val="005967E6"/>
    <w:rsid w:val="00597240"/>
    <w:rsid w:val="00597477"/>
    <w:rsid w:val="005974B8"/>
    <w:rsid w:val="005976AC"/>
    <w:rsid w:val="00597DCA"/>
    <w:rsid w:val="005A034B"/>
    <w:rsid w:val="005A043B"/>
    <w:rsid w:val="005A04F6"/>
    <w:rsid w:val="005A0B91"/>
    <w:rsid w:val="005A1BDC"/>
    <w:rsid w:val="005A1CB0"/>
    <w:rsid w:val="005A2EFA"/>
    <w:rsid w:val="005A43DE"/>
    <w:rsid w:val="005A4DBE"/>
    <w:rsid w:val="005A4E5C"/>
    <w:rsid w:val="005A5145"/>
    <w:rsid w:val="005A5858"/>
    <w:rsid w:val="005A5A8F"/>
    <w:rsid w:val="005A64F1"/>
    <w:rsid w:val="005A67C4"/>
    <w:rsid w:val="005A793F"/>
    <w:rsid w:val="005A7C54"/>
    <w:rsid w:val="005B0262"/>
    <w:rsid w:val="005B3594"/>
    <w:rsid w:val="005B35A7"/>
    <w:rsid w:val="005B3670"/>
    <w:rsid w:val="005B3E0F"/>
    <w:rsid w:val="005B412C"/>
    <w:rsid w:val="005B4749"/>
    <w:rsid w:val="005B4C55"/>
    <w:rsid w:val="005B59B6"/>
    <w:rsid w:val="005B5BA6"/>
    <w:rsid w:val="005B69BE"/>
    <w:rsid w:val="005B7826"/>
    <w:rsid w:val="005C0C4E"/>
    <w:rsid w:val="005C1068"/>
    <w:rsid w:val="005C174F"/>
    <w:rsid w:val="005C1C7E"/>
    <w:rsid w:val="005C2CC2"/>
    <w:rsid w:val="005C326F"/>
    <w:rsid w:val="005C4556"/>
    <w:rsid w:val="005C5CF4"/>
    <w:rsid w:val="005C607E"/>
    <w:rsid w:val="005C66D0"/>
    <w:rsid w:val="005C66E8"/>
    <w:rsid w:val="005C71CE"/>
    <w:rsid w:val="005C744A"/>
    <w:rsid w:val="005D08DB"/>
    <w:rsid w:val="005D0D7B"/>
    <w:rsid w:val="005D0DF3"/>
    <w:rsid w:val="005D13B1"/>
    <w:rsid w:val="005D194A"/>
    <w:rsid w:val="005D2DE2"/>
    <w:rsid w:val="005D36A8"/>
    <w:rsid w:val="005D5FDB"/>
    <w:rsid w:val="005D7CF2"/>
    <w:rsid w:val="005E1571"/>
    <w:rsid w:val="005E1E19"/>
    <w:rsid w:val="005E206A"/>
    <w:rsid w:val="005E26B2"/>
    <w:rsid w:val="005E35A1"/>
    <w:rsid w:val="005E3A34"/>
    <w:rsid w:val="005E4F11"/>
    <w:rsid w:val="005E4FC6"/>
    <w:rsid w:val="005E5A8F"/>
    <w:rsid w:val="005E5C7E"/>
    <w:rsid w:val="005E5C94"/>
    <w:rsid w:val="005E6027"/>
    <w:rsid w:val="005E6386"/>
    <w:rsid w:val="005E79A7"/>
    <w:rsid w:val="005E7AC0"/>
    <w:rsid w:val="005F0CF9"/>
    <w:rsid w:val="005F13A3"/>
    <w:rsid w:val="005F1FF7"/>
    <w:rsid w:val="005F2D66"/>
    <w:rsid w:val="005F2E0D"/>
    <w:rsid w:val="005F35F7"/>
    <w:rsid w:val="005F36F8"/>
    <w:rsid w:val="005F3B15"/>
    <w:rsid w:val="005F4278"/>
    <w:rsid w:val="005F556F"/>
    <w:rsid w:val="005F57DF"/>
    <w:rsid w:val="005F5DC8"/>
    <w:rsid w:val="005F5E21"/>
    <w:rsid w:val="005F62F6"/>
    <w:rsid w:val="005F778B"/>
    <w:rsid w:val="005F77B3"/>
    <w:rsid w:val="00601A6B"/>
    <w:rsid w:val="0060234E"/>
    <w:rsid w:val="00602534"/>
    <w:rsid w:val="006026B5"/>
    <w:rsid w:val="006040B9"/>
    <w:rsid w:val="00604148"/>
    <w:rsid w:val="006049EF"/>
    <w:rsid w:val="00605C3E"/>
    <w:rsid w:val="00605C8C"/>
    <w:rsid w:val="00606275"/>
    <w:rsid w:val="00610AC4"/>
    <w:rsid w:val="0061182B"/>
    <w:rsid w:val="00611838"/>
    <w:rsid w:val="006118C4"/>
    <w:rsid w:val="00611B4C"/>
    <w:rsid w:val="00612219"/>
    <w:rsid w:val="006125B0"/>
    <w:rsid w:val="006133D6"/>
    <w:rsid w:val="006135FB"/>
    <w:rsid w:val="0061424D"/>
    <w:rsid w:val="00614B11"/>
    <w:rsid w:val="00614D0B"/>
    <w:rsid w:val="00614DA4"/>
    <w:rsid w:val="00614FA1"/>
    <w:rsid w:val="00616A14"/>
    <w:rsid w:val="006176CC"/>
    <w:rsid w:val="00617F77"/>
    <w:rsid w:val="00620011"/>
    <w:rsid w:val="00620226"/>
    <w:rsid w:val="006202B8"/>
    <w:rsid w:val="00620B29"/>
    <w:rsid w:val="00620C1A"/>
    <w:rsid w:val="00621FF3"/>
    <w:rsid w:val="0062267C"/>
    <w:rsid w:val="00623FF1"/>
    <w:rsid w:val="0062413E"/>
    <w:rsid w:val="006242EA"/>
    <w:rsid w:val="00624401"/>
    <w:rsid w:val="006246C3"/>
    <w:rsid w:val="006267B5"/>
    <w:rsid w:val="006272E8"/>
    <w:rsid w:val="006300E3"/>
    <w:rsid w:val="00630694"/>
    <w:rsid w:val="006307BB"/>
    <w:rsid w:val="0063117C"/>
    <w:rsid w:val="006321F2"/>
    <w:rsid w:val="00633CC4"/>
    <w:rsid w:val="00634185"/>
    <w:rsid w:val="0063492F"/>
    <w:rsid w:val="00634BC9"/>
    <w:rsid w:val="00635B66"/>
    <w:rsid w:val="00636F3F"/>
    <w:rsid w:val="00637205"/>
    <w:rsid w:val="00637388"/>
    <w:rsid w:val="00637716"/>
    <w:rsid w:val="006407CA"/>
    <w:rsid w:val="0064173A"/>
    <w:rsid w:val="0064385F"/>
    <w:rsid w:val="0064393D"/>
    <w:rsid w:val="00643B3E"/>
    <w:rsid w:val="006442DB"/>
    <w:rsid w:val="006465E3"/>
    <w:rsid w:val="00646725"/>
    <w:rsid w:val="006471DD"/>
    <w:rsid w:val="00647334"/>
    <w:rsid w:val="00647AF9"/>
    <w:rsid w:val="00647BBA"/>
    <w:rsid w:val="00647F28"/>
    <w:rsid w:val="006502F5"/>
    <w:rsid w:val="00650CD9"/>
    <w:rsid w:val="00650F0D"/>
    <w:rsid w:val="006514B5"/>
    <w:rsid w:val="006527B1"/>
    <w:rsid w:val="0065381C"/>
    <w:rsid w:val="00654677"/>
    <w:rsid w:val="00654D78"/>
    <w:rsid w:val="006557E6"/>
    <w:rsid w:val="006558EC"/>
    <w:rsid w:val="006565DF"/>
    <w:rsid w:val="0065698F"/>
    <w:rsid w:val="00660A6B"/>
    <w:rsid w:val="006612FC"/>
    <w:rsid w:val="006622F4"/>
    <w:rsid w:val="00662C3D"/>
    <w:rsid w:val="006632F7"/>
    <w:rsid w:val="006639D0"/>
    <w:rsid w:val="00663FAD"/>
    <w:rsid w:val="006641EA"/>
    <w:rsid w:val="00664E0F"/>
    <w:rsid w:val="006651E3"/>
    <w:rsid w:val="00665215"/>
    <w:rsid w:val="00666B86"/>
    <w:rsid w:val="00667432"/>
    <w:rsid w:val="00667D65"/>
    <w:rsid w:val="00670056"/>
    <w:rsid w:val="006702C3"/>
    <w:rsid w:val="00671161"/>
    <w:rsid w:val="0067228B"/>
    <w:rsid w:val="00672719"/>
    <w:rsid w:val="00672F7B"/>
    <w:rsid w:val="00673066"/>
    <w:rsid w:val="00673D9C"/>
    <w:rsid w:val="0067419B"/>
    <w:rsid w:val="006744D2"/>
    <w:rsid w:val="00674D20"/>
    <w:rsid w:val="00674DA3"/>
    <w:rsid w:val="00676744"/>
    <w:rsid w:val="00676AE2"/>
    <w:rsid w:val="00680173"/>
    <w:rsid w:val="00681154"/>
    <w:rsid w:val="00682162"/>
    <w:rsid w:val="006829E9"/>
    <w:rsid w:val="00682C63"/>
    <w:rsid w:val="00682D34"/>
    <w:rsid w:val="00683108"/>
    <w:rsid w:val="006840DB"/>
    <w:rsid w:val="006844DD"/>
    <w:rsid w:val="00686536"/>
    <w:rsid w:val="00686A62"/>
    <w:rsid w:val="006877CE"/>
    <w:rsid w:val="006908D3"/>
    <w:rsid w:val="00691738"/>
    <w:rsid w:val="00691CEE"/>
    <w:rsid w:val="00691FE4"/>
    <w:rsid w:val="00692179"/>
    <w:rsid w:val="0069270B"/>
    <w:rsid w:val="00692890"/>
    <w:rsid w:val="006933B3"/>
    <w:rsid w:val="00693CA4"/>
    <w:rsid w:val="00694350"/>
    <w:rsid w:val="00694BC0"/>
    <w:rsid w:val="0069502B"/>
    <w:rsid w:val="00695BF6"/>
    <w:rsid w:val="00696303"/>
    <w:rsid w:val="006964F8"/>
    <w:rsid w:val="00696BDD"/>
    <w:rsid w:val="006971F8"/>
    <w:rsid w:val="00697471"/>
    <w:rsid w:val="00697623"/>
    <w:rsid w:val="00697779"/>
    <w:rsid w:val="00697AF4"/>
    <w:rsid w:val="00697D86"/>
    <w:rsid w:val="006A0B24"/>
    <w:rsid w:val="006A0ECF"/>
    <w:rsid w:val="006A1886"/>
    <w:rsid w:val="006A297B"/>
    <w:rsid w:val="006A3225"/>
    <w:rsid w:val="006A35C3"/>
    <w:rsid w:val="006A3920"/>
    <w:rsid w:val="006A417C"/>
    <w:rsid w:val="006A56BF"/>
    <w:rsid w:val="006A5E07"/>
    <w:rsid w:val="006A5F7C"/>
    <w:rsid w:val="006A7150"/>
    <w:rsid w:val="006A73A4"/>
    <w:rsid w:val="006A7629"/>
    <w:rsid w:val="006A7B82"/>
    <w:rsid w:val="006B0800"/>
    <w:rsid w:val="006B11B8"/>
    <w:rsid w:val="006B1DD4"/>
    <w:rsid w:val="006B21E9"/>
    <w:rsid w:val="006B2655"/>
    <w:rsid w:val="006B2931"/>
    <w:rsid w:val="006B32A7"/>
    <w:rsid w:val="006B471B"/>
    <w:rsid w:val="006B476A"/>
    <w:rsid w:val="006B57D1"/>
    <w:rsid w:val="006B6C2E"/>
    <w:rsid w:val="006B75CC"/>
    <w:rsid w:val="006C20D4"/>
    <w:rsid w:val="006C20F2"/>
    <w:rsid w:val="006C23FA"/>
    <w:rsid w:val="006C261B"/>
    <w:rsid w:val="006C3659"/>
    <w:rsid w:val="006C379D"/>
    <w:rsid w:val="006C4ED6"/>
    <w:rsid w:val="006C4F4B"/>
    <w:rsid w:val="006C521F"/>
    <w:rsid w:val="006D0FD4"/>
    <w:rsid w:val="006D1036"/>
    <w:rsid w:val="006D1237"/>
    <w:rsid w:val="006D172A"/>
    <w:rsid w:val="006D1A0B"/>
    <w:rsid w:val="006D1E1A"/>
    <w:rsid w:val="006D2B24"/>
    <w:rsid w:val="006D329E"/>
    <w:rsid w:val="006D382A"/>
    <w:rsid w:val="006D504E"/>
    <w:rsid w:val="006D5657"/>
    <w:rsid w:val="006D6B7C"/>
    <w:rsid w:val="006D6EF2"/>
    <w:rsid w:val="006D7F5C"/>
    <w:rsid w:val="006E00E2"/>
    <w:rsid w:val="006E066A"/>
    <w:rsid w:val="006E1626"/>
    <w:rsid w:val="006E1C3A"/>
    <w:rsid w:val="006E2878"/>
    <w:rsid w:val="006E2E59"/>
    <w:rsid w:val="006E37C0"/>
    <w:rsid w:val="006E40A9"/>
    <w:rsid w:val="006E44F5"/>
    <w:rsid w:val="006E4ABE"/>
    <w:rsid w:val="006E58F0"/>
    <w:rsid w:val="006E709E"/>
    <w:rsid w:val="006E743A"/>
    <w:rsid w:val="006F0413"/>
    <w:rsid w:val="006F0EB5"/>
    <w:rsid w:val="006F0FFE"/>
    <w:rsid w:val="006F138F"/>
    <w:rsid w:val="006F14A8"/>
    <w:rsid w:val="006F1D84"/>
    <w:rsid w:val="006F22D4"/>
    <w:rsid w:val="006F27CC"/>
    <w:rsid w:val="006F2BD7"/>
    <w:rsid w:val="006F2EFF"/>
    <w:rsid w:val="006F337F"/>
    <w:rsid w:val="006F3F28"/>
    <w:rsid w:val="006F41D9"/>
    <w:rsid w:val="006F4B1E"/>
    <w:rsid w:val="006F4C58"/>
    <w:rsid w:val="006F4CB7"/>
    <w:rsid w:val="006F4D3D"/>
    <w:rsid w:val="006F58C7"/>
    <w:rsid w:val="006F5CF4"/>
    <w:rsid w:val="006F697C"/>
    <w:rsid w:val="006F6E2B"/>
    <w:rsid w:val="006F70BD"/>
    <w:rsid w:val="006F7DCD"/>
    <w:rsid w:val="006F7FFA"/>
    <w:rsid w:val="007004E6"/>
    <w:rsid w:val="00701458"/>
    <w:rsid w:val="007017C6"/>
    <w:rsid w:val="0070192B"/>
    <w:rsid w:val="00702487"/>
    <w:rsid w:val="00702868"/>
    <w:rsid w:val="00702A70"/>
    <w:rsid w:val="00705926"/>
    <w:rsid w:val="00706118"/>
    <w:rsid w:val="00706522"/>
    <w:rsid w:val="00706C13"/>
    <w:rsid w:val="00707580"/>
    <w:rsid w:val="007075E7"/>
    <w:rsid w:val="0071025C"/>
    <w:rsid w:val="0071042C"/>
    <w:rsid w:val="00710A06"/>
    <w:rsid w:val="00710FC5"/>
    <w:rsid w:val="0071131B"/>
    <w:rsid w:val="00711E37"/>
    <w:rsid w:val="00711FCE"/>
    <w:rsid w:val="00712ADC"/>
    <w:rsid w:val="00714F4C"/>
    <w:rsid w:val="0071524B"/>
    <w:rsid w:val="007169A9"/>
    <w:rsid w:val="00716A30"/>
    <w:rsid w:val="00716EE9"/>
    <w:rsid w:val="00717D99"/>
    <w:rsid w:val="00721287"/>
    <w:rsid w:val="0072193C"/>
    <w:rsid w:val="0072282A"/>
    <w:rsid w:val="0072297F"/>
    <w:rsid w:val="007230BB"/>
    <w:rsid w:val="007231D4"/>
    <w:rsid w:val="00723225"/>
    <w:rsid w:val="007235CB"/>
    <w:rsid w:val="007239B7"/>
    <w:rsid w:val="00723FBE"/>
    <w:rsid w:val="0072464B"/>
    <w:rsid w:val="0072660D"/>
    <w:rsid w:val="00727339"/>
    <w:rsid w:val="00727960"/>
    <w:rsid w:val="00727983"/>
    <w:rsid w:val="00730135"/>
    <w:rsid w:val="0073094A"/>
    <w:rsid w:val="0073204A"/>
    <w:rsid w:val="007323A2"/>
    <w:rsid w:val="0073249D"/>
    <w:rsid w:val="007326C0"/>
    <w:rsid w:val="00732E9E"/>
    <w:rsid w:val="007343F6"/>
    <w:rsid w:val="007352A3"/>
    <w:rsid w:val="00736733"/>
    <w:rsid w:val="007372C4"/>
    <w:rsid w:val="00740773"/>
    <w:rsid w:val="00741404"/>
    <w:rsid w:val="007417C7"/>
    <w:rsid w:val="00741B7A"/>
    <w:rsid w:val="0074212D"/>
    <w:rsid w:val="007423DA"/>
    <w:rsid w:val="007433A7"/>
    <w:rsid w:val="007438D1"/>
    <w:rsid w:val="007442AB"/>
    <w:rsid w:val="00744342"/>
    <w:rsid w:val="00744983"/>
    <w:rsid w:val="00745B83"/>
    <w:rsid w:val="00746009"/>
    <w:rsid w:val="007460B0"/>
    <w:rsid w:val="007466BE"/>
    <w:rsid w:val="00746B22"/>
    <w:rsid w:val="007501F4"/>
    <w:rsid w:val="007509C9"/>
    <w:rsid w:val="00750FB7"/>
    <w:rsid w:val="007512D1"/>
    <w:rsid w:val="0075203A"/>
    <w:rsid w:val="00752CB1"/>
    <w:rsid w:val="00753780"/>
    <w:rsid w:val="00754C8B"/>
    <w:rsid w:val="00755A99"/>
    <w:rsid w:val="00755B0D"/>
    <w:rsid w:val="00755FA1"/>
    <w:rsid w:val="007568F5"/>
    <w:rsid w:val="00757127"/>
    <w:rsid w:val="0075734D"/>
    <w:rsid w:val="0075773E"/>
    <w:rsid w:val="00757EBE"/>
    <w:rsid w:val="007603A9"/>
    <w:rsid w:val="00760CE1"/>
    <w:rsid w:val="00760F2D"/>
    <w:rsid w:val="00761D22"/>
    <w:rsid w:val="00762800"/>
    <w:rsid w:val="00764C5D"/>
    <w:rsid w:val="00765AED"/>
    <w:rsid w:val="0076619E"/>
    <w:rsid w:val="00766313"/>
    <w:rsid w:val="00766CAD"/>
    <w:rsid w:val="007674C7"/>
    <w:rsid w:val="007711FC"/>
    <w:rsid w:val="0077249A"/>
    <w:rsid w:val="007731D9"/>
    <w:rsid w:val="00773B4E"/>
    <w:rsid w:val="0077428B"/>
    <w:rsid w:val="00775316"/>
    <w:rsid w:val="00777259"/>
    <w:rsid w:val="00777EB1"/>
    <w:rsid w:val="007809E2"/>
    <w:rsid w:val="00780C79"/>
    <w:rsid w:val="00780CE7"/>
    <w:rsid w:val="007823FF"/>
    <w:rsid w:val="007824B3"/>
    <w:rsid w:val="00782DC4"/>
    <w:rsid w:val="00783300"/>
    <w:rsid w:val="007839B6"/>
    <w:rsid w:val="00783CAF"/>
    <w:rsid w:val="00783E31"/>
    <w:rsid w:val="007851A2"/>
    <w:rsid w:val="00785989"/>
    <w:rsid w:val="0078650E"/>
    <w:rsid w:val="00786E6C"/>
    <w:rsid w:val="007872DE"/>
    <w:rsid w:val="007872F3"/>
    <w:rsid w:val="0079034D"/>
    <w:rsid w:val="0079090C"/>
    <w:rsid w:val="00793269"/>
    <w:rsid w:val="00793E9E"/>
    <w:rsid w:val="00794289"/>
    <w:rsid w:val="00794603"/>
    <w:rsid w:val="007958AA"/>
    <w:rsid w:val="007962DF"/>
    <w:rsid w:val="007A086A"/>
    <w:rsid w:val="007A08D9"/>
    <w:rsid w:val="007A0ADC"/>
    <w:rsid w:val="007A24C1"/>
    <w:rsid w:val="007A2CF2"/>
    <w:rsid w:val="007A48A4"/>
    <w:rsid w:val="007A48B3"/>
    <w:rsid w:val="007A4E6E"/>
    <w:rsid w:val="007A55EA"/>
    <w:rsid w:val="007A5B24"/>
    <w:rsid w:val="007A62F7"/>
    <w:rsid w:val="007A766A"/>
    <w:rsid w:val="007A7BA3"/>
    <w:rsid w:val="007B0279"/>
    <w:rsid w:val="007B088E"/>
    <w:rsid w:val="007B08C1"/>
    <w:rsid w:val="007B0EE9"/>
    <w:rsid w:val="007B1DB7"/>
    <w:rsid w:val="007B23BB"/>
    <w:rsid w:val="007B2B41"/>
    <w:rsid w:val="007B2E8D"/>
    <w:rsid w:val="007B3509"/>
    <w:rsid w:val="007B371B"/>
    <w:rsid w:val="007B4243"/>
    <w:rsid w:val="007B4DD5"/>
    <w:rsid w:val="007B59E6"/>
    <w:rsid w:val="007B6BB5"/>
    <w:rsid w:val="007C05F9"/>
    <w:rsid w:val="007C0F1D"/>
    <w:rsid w:val="007C18E7"/>
    <w:rsid w:val="007C1C73"/>
    <w:rsid w:val="007C2561"/>
    <w:rsid w:val="007C28D2"/>
    <w:rsid w:val="007C3857"/>
    <w:rsid w:val="007C3BFC"/>
    <w:rsid w:val="007C42BC"/>
    <w:rsid w:val="007C5AFC"/>
    <w:rsid w:val="007C5E4C"/>
    <w:rsid w:val="007C6546"/>
    <w:rsid w:val="007C6A13"/>
    <w:rsid w:val="007C72E1"/>
    <w:rsid w:val="007C765F"/>
    <w:rsid w:val="007D0534"/>
    <w:rsid w:val="007D0F53"/>
    <w:rsid w:val="007D1D7E"/>
    <w:rsid w:val="007D23B0"/>
    <w:rsid w:val="007D2FAF"/>
    <w:rsid w:val="007D33FE"/>
    <w:rsid w:val="007D3AA0"/>
    <w:rsid w:val="007D4989"/>
    <w:rsid w:val="007D5C03"/>
    <w:rsid w:val="007D6A56"/>
    <w:rsid w:val="007D74D7"/>
    <w:rsid w:val="007E0EE7"/>
    <w:rsid w:val="007E11B3"/>
    <w:rsid w:val="007E1F1A"/>
    <w:rsid w:val="007E3643"/>
    <w:rsid w:val="007E4658"/>
    <w:rsid w:val="007E4700"/>
    <w:rsid w:val="007E4709"/>
    <w:rsid w:val="007E6675"/>
    <w:rsid w:val="007E73FA"/>
    <w:rsid w:val="007F07F0"/>
    <w:rsid w:val="007F094A"/>
    <w:rsid w:val="007F0AE6"/>
    <w:rsid w:val="007F0F61"/>
    <w:rsid w:val="007F10F5"/>
    <w:rsid w:val="007F1561"/>
    <w:rsid w:val="007F35A0"/>
    <w:rsid w:val="007F37B9"/>
    <w:rsid w:val="007F381C"/>
    <w:rsid w:val="007F397E"/>
    <w:rsid w:val="007F39A8"/>
    <w:rsid w:val="007F4122"/>
    <w:rsid w:val="007F6B27"/>
    <w:rsid w:val="007F6B33"/>
    <w:rsid w:val="007F6F2E"/>
    <w:rsid w:val="007F6FD4"/>
    <w:rsid w:val="007F70DF"/>
    <w:rsid w:val="007F7546"/>
    <w:rsid w:val="007F7E36"/>
    <w:rsid w:val="00800F29"/>
    <w:rsid w:val="0080107B"/>
    <w:rsid w:val="0080299D"/>
    <w:rsid w:val="008029B8"/>
    <w:rsid w:val="00803673"/>
    <w:rsid w:val="008038C9"/>
    <w:rsid w:val="00805F44"/>
    <w:rsid w:val="008060C0"/>
    <w:rsid w:val="0080611F"/>
    <w:rsid w:val="00806606"/>
    <w:rsid w:val="00806D91"/>
    <w:rsid w:val="008070BD"/>
    <w:rsid w:val="008070D4"/>
    <w:rsid w:val="0080731A"/>
    <w:rsid w:val="0081067D"/>
    <w:rsid w:val="00810A73"/>
    <w:rsid w:val="008117E1"/>
    <w:rsid w:val="00811E5F"/>
    <w:rsid w:val="00811E6E"/>
    <w:rsid w:val="00813092"/>
    <w:rsid w:val="00813426"/>
    <w:rsid w:val="00813B2C"/>
    <w:rsid w:val="00815628"/>
    <w:rsid w:val="008165B0"/>
    <w:rsid w:val="00816DC1"/>
    <w:rsid w:val="0081766B"/>
    <w:rsid w:val="00817B7E"/>
    <w:rsid w:val="00817C94"/>
    <w:rsid w:val="00820294"/>
    <w:rsid w:val="00820C6E"/>
    <w:rsid w:val="00821864"/>
    <w:rsid w:val="00821A49"/>
    <w:rsid w:val="00822E49"/>
    <w:rsid w:val="008246ED"/>
    <w:rsid w:val="00825896"/>
    <w:rsid w:val="00825B6B"/>
    <w:rsid w:val="008275EB"/>
    <w:rsid w:val="00827614"/>
    <w:rsid w:val="00827E43"/>
    <w:rsid w:val="00830C81"/>
    <w:rsid w:val="0083225B"/>
    <w:rsid w:val="0083257A"/>
    <w:rsid w:val="0083434B"/>
    <w:rsid w:val="008345C3"/>
    <w:rsid w:val="0083494D"/>
    <w:rsid w:val="00834BA4"/>
    <w:rsid w:val="008352AE"/>
    <w:rsid w:val="008356A2"/>
    <w:rsid w:val="00835EC4"/>
    <w:rsid w:val="008365DD"/>
    <w:rsid w:val="008370E5"/>
    <w:rsid w:val="00840582"/>
    <w:rsid w:val="0084174B"/>
    <w:rsid w:val="00843BA0"/>
    <w:rsid w:val="0084411B"/>
    <w:rsid w:val="008441E7"/>
    <w:rsid w:val="0084420D"/>
    <w:rsid w:val="008450CB"/>
    <w:rsid w:val="008464FC"/>
    <w:rsid w:val="00846B9A"/>
    <w:rsid w:val="00846F39"/>
    <w:rsid w:val="008471BD"/>
    <w:rsid w:val="008472B0"/>
    <w:rsid w:val="008472E3"/>
    <w:rsid w:val="008513F2"/>
    <w:rsid w:val="00851603"/>
    <w:rsid w:val="008519EC"/>
    <w:rsid w:val="0085200E"/>
    <w:rsid w:val="0085240A"/>
    <w:rsid w:val="008528C3"/>
    <w:rsid w:val="0085296B"/>
    <w:rsid w:val="0085403C"/>
    <w:rsid w:val="008547EC"/>
    <w:rsid w:val="008566EC"/>
    <w:rsid w:val="008571E2"/>
    <w:rsid w:val="00857738"/>
    <w:rsid w:val="008577BF"/>
    <w:rsid w:val="00857A88"/>
    <w:rsid w:val="00861973"/>
    <w:rsid w:val="008622BF"/>
    <w:rsid w:val="008625C1"/>
    <w:rsid w:val="008635AD"/>
    <w:rsid w:val="00863A66"/>
    <w:rsid w:val="00864832"/>
    <w:rsid w:val="00865B43"/>
    <w:rsid w:val="00865F00"/>
    <w:rsid w:val="008679B4"/>
    <w:rsid w:val="0087033D"/>
    <w:rsid w:val="00872CD6"/>
    <w:rsid w:val="0087411F"/>
    <w:rsid w:val="00874B9B"/>
    <w:rsid w:val="00877517"/>
    <w:rsid w:val="00881ADC"/>
    <w:rsid w:val="00882A0A"/>
    <w:rsid w:val="00883ABC"/>
    <w:rsid w:val="00883D21"/>
    <w:rsid w:val="008849A2"/>
    <w:rsid w:val="00884C2C"/>
    <w:rsid w:val="00886EEB"/>
    <w:rsid w:val="00887086"/>
    <w:rsid w:val="00887212"/>
    <w:rsid w:val="008877EE"/>
    <w:rsid w:val="008879BF"/>
    <w:rsid w:val="00887A3F"/>
    <w:rsid w:val="00887E81"/>
    <w:rsid w:val="00891273"/>
    <w:rsid w:val="00893395"/>
    <w:rsid w:val="00894177"/>
    <w:rsid w:val="00894495"/>
    <w:rsid w:val="00895AC6"/>
    <w:rsid w:val="00896579"/>
    <w:rsid w:val="00897331"/>
    <w:rsid w:val="00897714"/>
    <w:rsid w:val="008A0E80"/>
    <w:rsid w:val="008A1167"/>
    <w:rsid w:val="008A17E2"/>
    <w:rsid w:val="008A18F0"/>
    <w:rsid w:val="008A1B26"/>
    <w:rsid w:val="008A2027"/>
    <w:rsid w:val="008A4147"/>
    <w:rsid w:val="008A4778"/>
    <w:rsid w:val="008A4D91"/>
    <w:rsid w:val="008A5E22"/>
    <w:rsid w:val="008A6627"/>
    <w:rsid w:val="008A6A3D"/>
    <w:rsid w:val="008A708C"/>
    <w:rsid w:val="008A732B"/>
    <w:rsid w:val="008A74B2"/>
    <w:rsid w:val="008A77DB"/>
    <w:rsid w:val="008A7BCD"/>
    <w:rsid w:val="008B04A1"/>
    <w:rsid w:val="008B0B69"/>
    <w:rsid w:val="008B1382"/>
    <w:rsid w:val="008B2708"/>
    <w:rsid w:val="008B3E89"/>
    <w:rsid w:val="008B4970"/>
    <w:rsid w:val="008B5137"/>
    <w:rsid w:val="008B55C8"/>
    <w:rsid w:val="008B58BC"/>
    <w:rsid w:val="008B5E83"/>
    <w:rsid w:val="008B6BB6"/>
    <w:rsid w:val="008B73A5"/>
    <w:rsid w:val="008B75F6"/>
    <w:rsid w:val="008B7F07"/>
    <w:rsid w:val="008C006F"/>
    <w:rsid w:val="008C15D2"/>
    <w:rsid w:val="008C21BF"/>
    <w:rsid w:val="008C2C28"/>
    <w:rsid w:val="008C2DD8"/>
    <w:rsid w:val="008C39E2"/>
    <w:rsid w:val="008C3B7D"/>
    <w:rsid w:val="008C3B9A"/>
    <w:rsid w:val="008C49D4"/>
    <w:rsid w:val="008C5335"/>
    <w:rsid w:val="008C5635"/>
    <w:rsid w:val="008C6286"/>
    <w:rsid w:val="008C6310"/>
    <w:rsid w:val="008C7727"/>
    <w:rsid w:val="008C778F"/>
    <w:rsid w:val="008C7943"/>
    <w:rsid w:val="008C794A"/>
    <w:rsid w:val="008C7CA3"/>
    <w:rsid w:val="008C7CB6"/>
    <w:rsid w:val="008C7D43"/>
    <w:rsid w:val="008D0934"/>
    <w:rsid w:val="008D13E3"/>
    <w:rsid w:val="008D2A73"/>
    <w:rsid w:val="008D2C2F"/>
    <w:rsid w:val="008D337B"/>
    <w:rsid w:val="008D39B4"/>
    <w:rsid w:val="008D3E3F"/>
    <w:rsid w:val="008D4A5D"/>
    <w:rsid w:val="008D4E0F"/>
    <w:rsid w:val="008D514D"/>
    <w:rsid w:val="008D5A87"/>
    <w:rsid w:val="008D70FC"/>
    <w:rsid w:val="008E0D33"/>
    <w:rsid w:val="008E155A"/>
    <w:rsid w:val="008E1EB5"/>
    <w:rsid w:val="008E2376"/>
    <w:rsid w:val="008E2ADB"/>
    <w:rsid w:val="008E3153"/>
    <w:rsid w:val="008E32FA"/>
    <w:rsid w:val="008E39E4"/>
    <w:rsid w:val="008E455D"/>
    <w:rsid w:val="008E5B40"/>
    <w:rsid w:val="008E5D27"/>
    <w:rsid w:val="008E7C65"/>
    <w:rsid w:val="008F0012"/>
    <w:rsid w:val="008F01A8"/>
    <w:rsid w:val="008F10A4"/>
    <w:rsid w:val="008F23C3"/>
    <w:rsid w:val="008F3C68"/>
    <w:rsid w:val="008F3E75"/>
    <w:rsid w:val="008F58A3"/>
    <w:rsid w:val="008F5F00"/>
    <w:rsid w:val="008F7B58"/>
    <w:rsid w:val="009003AA"/>
    <w:rsid w:val="00901237"/>
    <w:rsid w:val="0090159E"/>
    <w:rsid w:val="009020EF"/>
    <w:rsid w:val="00903369"/>
    <w:rsid w:val="00903400"/>
    <w:rsid w:val="00903886"/>
    <w:rsid w:val="009038F4"/>
    <w:rsid w:val="00903CEB"/>
    <w:rsid w:val="009041AF"/>
    <w:rsid w:val="009044BE"/>
    <w:rsid w:val="0090493C"/>
    <w:rsid w:val="0090525A"/>
    <w:rsid w:val="009065BE"/>
    <w:rsid w:val="00906F3A"/>
    <w:rsid w:val="009077B2"/>
    <w:rsid w:val="0091041A"/>
    <w:rsid w:val="0091045A"/>
    <w:rsid w:val="00910BFE"/>
    <w:rsid w:val="00910C19"/>
    <w:rsid w:val="00910CB5"/>
    <w:rsid w:val="009111E2"/>
    <w:rsid w:val="00911209"/>
    <w:rsid w:val="00911BB7"/>
    <w:rsid w:val="00911CE4"/>
    <w:rsid w:val="00913D5E"/>
    <w:rsid w:val="00914195"/>
    <w:rsid w:val="00914DB1"/>
    <w:rsid w:val="009159DD"/>
    <w:rsid w:val="00915BD9"/>
    <w:rsid w:val="0091701B"/>
    <w:rsid w:val="00917EFF"/>
    <w:rsid w:val="00920AB0"/>
    <w:rsid w:val="009216D4"/>
    <w:rsid w:val="00921F55"/>
    <w:rsid w:val="0092262E"/>
    <w:rsid w:val="00922BE9"/>
    <w:rsid w:val="00925087"/>
    <w:rsid w:val="009256A0"/>
    <w:rsid w:val="009256E3"/>
    <w:rsid w:val="0092570E"/>
    <w:rsid w:val="00925F72"/>
    <w:rsid w:val="00926AAD"/>
    <w:rsid w:val="00926FE3"/>
    <w:rsid w:val="00927493"/>
    <w:rsid w:val="00931665"/>
    <w:rsid w:val="00931CF4"/>
    <w:rsid w:val="00931DAF"/>
    <w:rsid w:val="00932311"/>
    <w:rsid w:val="00932510"/>
    <w:rsid w:val="009326D3"/>
    <w:rsid w:val="00932A59"/>
    <w:rsid w:val="00932FDC"/>
    <w:rsid w:val="00933714"/>
    <w:rsid w:val="00933779"/>
    <w:rsid w:val="009339D8"/>
    <w:rsid w:val="00933D73"/>
    <w:rsid w:val="00934164"/>
    <w:rsid w:val="009341EF"/>
    <w:rsid w:val="009350FE"/>
    <w:rsid w:val="009354D2"/>
    <w:rsid w:val="00936E7E"/>
    <w:rsid w:val="009375D7"/>
    <w:rsid w:val="00937E62"/>
    <w:rsid w:val="00937EFC"/>
    <w:rsid w:val="00940068"/>
    <w:rsid w:val="0094026F"/>
    <w:rsid w:val="009421C6"/>
    <w:rsid w:val="009429D6"/>
    <w:rsid w:val="00943C3C"/>
    <w:rsid w:val="009448C7"/>
    <w:rsid w:val="00944B1A"/>
    <w:rsid w:val="00944D0C"/>
    <w:rsid w:val="0094592F"/>
    <w:rsid w:val="00945D61"/>
    <w:rsid w:val="00947440"/>
    <w:rsid w:val="0094745E"/>
    <w:rsid w:val="00947725"/>
    <w:rsid w:val="00947823"/>
    <w:rsid w:val="00950094"/>
    <w:rsid w:val="009509B4"/>
    <w:rsid w:val="009509C1"/>
    <w:rsid w:val="00951513"/>
    <w:rsid w:val="00951552"/>
    <w:rsid w:val="00951581"/>
    <w:rsid w:val="00951671"/>
    <w:rsid w:val="00951C56"/>
    <w:rsid w:val="00951E6C"/>
    <w:rsid w:val="00951F8A"/>
    <w:rsid w:val="0095242C"/>
    <w:rsid w:val="00952A91"/>
    <w:rsid w:val="00952E81"/>
    <w:rsid w:val="0095388B"/>
    <w:rsid w:val="00953901"/>
    <w:rsid w:val="00953CF0"/>
    <w:rsid w:val="009541D8"/>
    <w:rsid w:val="00955CC4"/>
    <w:rsid w:val="009567AB"/>
    <w:rsid w:val="00956B2E"/>
    <w:rsid w:val="00957AFC"/>
    <w:rsid w:val="009612C9"/>
    <w:rsid w:val="00961760"/>
    <w:rsid w:val="00962E3D"/>
    <w:rsid w:val="00963098"/>
    <w:rsid w:val="009634C5"/>
    <w:rsid w:val="00963976"/>
    <w:rsid w:val="0096534D"/>
    <w:rsid w:val="00965E43"/>
    <w:rsid w:val="00966316"/>
    <w:rsid w:val="00966540"/>
    <w:rsid w:val="00966F4B"/>
    <w:rsid w:val="0097011E"/>
    <w:rsid w:val="00970F00"/>
    <w:rsid w:val="00971D73"/>
    <w:rsid w:val="00971FF6"/>
    <w:rsid w:val="0097239E"/>
    <w:rsid w:val="0097272C"/>
    <w:rsid w:val="00973350"/>
    <w:rsid w:val="0097339C"/>
    <w:rsid w:val="009738F0"/>
    <w:rsid w:val="0097393F"/>
    <w:rsid w:val="00973E5C"/>
    <w:rsid w:val="0097450C"/>
    <w:rsid w:val="00975988"/>
    <w:rsid w:val="00976097"/>
    <w:rsid w:val="0097688E"/>
    <w:rsid w:val="00980517"/>
    <w:rsid w:val="00980C38"/>
    <w:rsid w:val="009812AE"/>
    <w:rsid w:val="00981CAB"/>
    <w:rsid w:val="0098225C"/>
    <w:rsid w:val="00982498"/>
    <w:rsid w:val="00982758"/>
    <w:rsid w:val="009828E1"/>
    <w:rsid w:val="00982F69"/>
    <w:rsid w:val="009830AD"/>
    <w:rsid w:val="009841DA"/>
    <w:rsid w:val="009847ED"/>
    <w:rsid w:val="009849BB"/>
    <w:rsid w:val="00984D66"/>
    <w:rsid w:val="009859C0"/>
    <w:rsid w:val="009862E6"/>
    <w:rsid w:val="00986301"/>
    <w:rsid w:val="00987370"/>
    <w:rsid w:val="00987982"/>
    <w:rsid w:val="00987B0A"/>
    <w:rsid w:val="00987B72"/>
    <w:rsid w:val="0099096A"/>
    <w:rsid w:val="00990F6D"/>
    <w:rsid w:val="0099134E"/>
    <w:rsid w:val="0099157A"/>
    <w:rsid w:val="00991794"/>
    <w:rsid w:val="00991A96"/>
    <w:rsid w:val="00991BF1"/>
    <w:rsid w:val="00992D46"/>
    <w:rsid w:val="00992EBC"/>
    <w:rsid w:val="00992FF9"/>
    <w:rsid w:val="00993F2D"/>
    <w:rsid w:val="00993F50"/>
    <w:rsid w:val="00994851"/>
    <w:rsid w:val="00994B15"/>
    <w:rsid w:val="009968A1"/>
    <w:rsid w:val="00996951"/>
    <w:rsid w:val="009A0167"/>
    <w:rsid w:val="009A0BCE"/>
    <w:rsid w:val="009A0CE6"/>
    <w:rsid w:val="009A213A"/>
    <w:rsid w:val="009A3A44"/>
    <w:rsid w:val="009A5985"/>
    <w:rsid w:val="009A5F47"/>
    <w:rsid w:val="009A6217"/>
    <w:rsid w:val="009A6334"/>
    <w:rsid w:val="009A6471"/>
    <w:rsid w:val="009B1E1D"/>
    <w:rsid w:val="009B1E89"/>
    <w:rsid w:val="009B33E8"/>
    <w:rsid w:val="009B51D4"/>
    <w:rsid w:val="009B52B3"/>
    <w:rsid w:val="009B62E3"/>
    <w:rsid w:val="009B6B2F"/>
    <w:rsid w:val="009B7036"/>
    <w:rsid w:val="009B70D2"/>
    <w:rsid w:val="009C0151"/>
    <w:rsid w:val="009C046B"/>
    <w:rsid w:val="009C0A39"/>
    <w:rsid w:val="009C0B2A"/>
    <w:rsid w:val="009C0DB2"/>
    <w:rsid w:val="009C1E14"/>
    <w:rsid w:val="009C2196"/>
    <w:rsid w:val="009C2AF5"/>
    <w:rsid w:val="009C2BE4"/>
    <w:rsid w:val="009C3E8F"/>
    <w:rsid w:val="009C403C"/>
    <w:rsid w:val="009C47C3"/>
    <w:rsid w:val="009C52FD"/>
    <w:rsid w:val="009C5B8E"/>
    <w:rsid w:val="009C5E8C"/>
    <w:rsid w:val="009C5EA5"/>
    <w:rsid w:val="009C5EDE"/>
    <w:rsid w:val="009C6792"/>
    <w:rsid w:val="009C6940"/>
    <w:rsid w:val="009C7044"/>
    <w:rsid w:val="009C72BA"/>
    <w:rsid w:val="009D1687"/>
    <w:rsid w:val="009D1F3F"/>
    <w:rsid w:val="009D23AC"/>
    <w:rsid w:val="009D23BE"/>
    <w:rsid w:val="009D2E19"/>
    <w:rsid w:val="009D483F"/>
    <w:rsid w:val="009D48AB"/>
    <w:rsid w:val="009D4C0B"/>
    <w:rsid w:val="009D4C71"/>
    <w:rsid w:val="009D5132"/>
    <w:rsid w:val="009D5718"/>
    <w:rsid w:val="009D5975"/>
    <w:rsid w:val="009D618F"/>
    <w:rsid w:val="009D736A"/>
    <w:rsid w:val="009D7553"/>
    <w:rsid w:val="009D7624"/>
    <w:rsid w:val="009D7899"/>
    <w:rsid w:val="009E0680"/>
    <w:rsid w:val="009E123C"/>
    <w:rsid w:val="009E245F"/>
    <w:rsid w:val="009E391A"/>
    <w:rsid w:val="009E5081"/>
    <w:rsid w:val="009E5938"/>
    <w:rsid w:val="009E620B"/>
    <w:rsid w:val="009E66F4"/>
    <w:rsid w:val="009E729E"/>
    <w:rsid w:val="009E7D1B"/>
    <w:rsid w:val="009F068C"/>
    <w:rsid w:val="009F1094"/>
    <w:rsid w:val="009F16AF"/>
    <w:rsid w:val="009F26D4"/>
    <w:rsid w:val="009F294D"/>
    <w:rsid w:val="009F2F49"/>
    <w:rsid w:val="009F389A"/>
    <w:rsid w:val="009F3DE8"/>
    <w:rsid w:val="009F49C2"/>
    <w:rsid w:val="009F5418"/>
    <w:rsid w:val="009F5B79"/>
    <w:rsid w:val="009F763D"/>
    <w:rsid w:val="00A01A6D"/>
    <w:rsid w:val="00A024D2"/>
    <w:rsid w:val="00A030A3"/>
    <w:rsid w:val="00A0315A"/>
    <w:rsid w:val="00A035B7"/>
    <w:rsid w:val="00A03A99"/>
    <w:rsid w:val="00A053AC"/>
    <w:rsid w:val="00A06255"/>
    <w:rsid w:val="00A06CDE"/>
    <w:rsid w:val="00A06E5A"/>
    <w:rsid w:val="00A071F5"/>
    <w:rsid w:val="00A07AF8"/>
    <w:rsid w:val="00A07F12"/>
    <w:rsid w:val="00A10392"/>
    <w:rsid w:val="00A1182F"/>
    <w:rsid w:val="00A11D7F"/>
    <w:rsid w:val="00A120E0"/>
    <w:rsid w:val="00A12C4E"/>
    <w:rsid w:val="00A13E14"/>
    <w:rsid w:val="00A13F88"/>
    <w:rsid w:val="00A13FD5"/>
    <w:rsid w:val="00A14068"/>
    <w:rsid w:val="00A1419C"/>
    <w:rsid w:val="00A14A45"/>
    <w:rsid w:val="00A16032"/>
    <w:rsid w:val="00A161B6"/>
    <w:rsid w:val="00A1663C"/>
    <w:rsid w:val="00A204F4"/>
    <w:rsid w:val="00A215F2"/>
    <w:rsid w:val="00A21D85"/>
    <w:rsid w:val="00A22D7F"/>
    <w:rsid w:val="00A238A0"/>
    <w:rsid w:val="00A239B6"/>
    <w:rsid w:val="00A25892"/>
    <w:rsid w:val="00A25D1E"/>
    <w:rsid w:val="00A260F6"/>
    <w:rsid w:val="00A261CB"/>
    <w:rsid w:val="00A2704B"/>
    <w:rsid w:val="00A277F1"/>
    <w:rsid w:val="00A27B90"/>
    <w:rsid w:val="00A3088A"/>
    <w:rsid w:val="00A30F95"/>
    <w:rsid w:val="00A32C64"/>
    <w:rsid w:val="00A32D84"/>
    <w:rsid w:val="00A33824"/>
    <w:rsid w:val="00A33CBE"/>
    <w:rsid w:val="00A34114"/>
    <w:rsid w:val="00A34FBD"/>
    <w:rsid w:val="00A352C3"/>
    <w:rsid w:val="00A36205"/>
    <w:rsid w:val="00A36A1F"/>
    <w:rsid w:val="00A37078"/>
    <w:rsid w:val="00A3754F"/>
    <w:rsid w:val="00A3771A"/>
    <w:rsid w:val="00A377F5"/>
    <w:rsid w:val="00A37DC2"/>
    <w:rsid w:val="00A4164D"/>
    <w:rsid w:val="00A426A4"/>
    <w:rsid w:val="00A43A83"/>
    <w:rsid w:val="00A44139"/>
    <w:rsid w:val="00A455C9"/>
    <w:rsid w:val="00A468F6"/>
    <w:rsid w:val="00A4694E"/>
    <w:rsid w:val="00A46F97"/>
    <w:rsid w:val="00A500A4"/>
    <w:rsid w:val="00A50935"/>
    <w:rsid w:val="00A5168B"/>
    <w:rsid w:val="00A51967"/>
    <w:rsid w:val="00A519DD"/>
    <w:rsid w:val="00A51C3A"/>
    <w:rsid w:val="00A51C6D"/>
    <w:rsid w:val="00A52B48"/>
    <w:rsid w:val="00A52EA7"/>
    <w:rsid w:val="00A53DFD"/>
    <w:rsid w:val="00A54A12"/>
    <w:rsid w:val="00A54FBF"/>
    <w:rsid w:val="00A55EA5"/>
    <w:rsid w:val="00A564CD"/>
    <w:rsid w:val="00A572CB"/>
    <w:rsid w:val="00A5794B"/>
    <w:rsid w:val="00A57E55"/>
    <w:rsid w:val="00A60304"/>
    <w:rsid w:val="00A60794"/>
    <w:rsid w:val="00A60F1A"/>
    <w:rsid w:val="00A6291A"/>
    <w:rsid w:val="00A62BC4"/>
    <w:rsid w:val="00A62DAB"/>
    <w:rsid w:val="00A633C8"/>
    <w:rsid w:val="00A647A9"/>
    <w:rsid w:val="00A658A0"/>
    <w:rsid w:val="00A66016"/>
    <w:rsid w:val="00A71B49"/>
    <w:rsid w:val="00A726E9"/>
    <w:rsid w:val="00A7299E"/>
    <w:rsid w:val="00A72C30"/>
    <w:rsid w:val="00A73588"/>
    <w:rsid w:val="00A743B5"/>
    <w:rsid w:val="00A753A6"/>
    <w:rsid w:val="00A75540"/>
    <w:rsid w:val="00A7629E"/>
    <w:rsid w:val="00A76903"/>
    <w:rsid w:val="00A76D7E"/>
    <w:rsid w:val="00A773AC"/>
    <w:rsid w:val="00A77AC5"/>
    <w:rsid w:val="00A808FC"/>
    <w:rsid w:val="00A8141B"/>
    <w:rsid w:val="00A81EAF"/>
    <w:rsid w:val="00A82831"/>
    <w:rsid w:val="00A82A0E"/>
    <w:rsid w:val="00A82F28"/>
    <w:rsid w:val="00A837A8"/>
    <w:rsid w:val="00A83854"/>
    <w:rsid w:val="00A83E29"/>
    <w:rsid w:val="00A83E4B"/>
    <w:rsid w:val="00A842E4"/>
    <w:rsid w:val="00A846B4"/>
    <w:rsid w:val="00A84D53"/>
    <w:rsid w:val="00A8528E"/>
    <w:rsid w:val="00A8569C"/>
    <w:rsid w:val="00A85C59"/>
    <w:rsid w:val="00A85E67"/>
    <w:rsid w:val="00A8681E"/>
    <w:rsid w:val="00A86862"/>
    <w:rsid w:val="00A86A80"/>
    <w:rsid w:val="00A86EFB"/>
    <w:rsid w:val="00A87468"/>
    <w:rsid w:val="00A9040D"/>
    <w:rsid w:val="00A907D7"/>
    <w:rsid w:val="00A91225"/>
    <w:rsid w:val="00A9256E"/>
    <w:rsid w:val="00A9262C"/>
    <w:rsid w:val="00A93A48"/>
    <w:rsid w:val="00A94179"/>
    <w:rsid w:val="00A9452A"/>
    <w:rsid w:val="00A94653"/>
    <w:rsid w:val="00A94728"/>
    <w:rsid w:val="00A94806"/>
    <w:rsid w:val="00A949E3"/>
    <w:rsid w:val="00A94A7B"/>
    <w:rsid w:val="00A94AE9"/>
    <w:rsid w:val="00A952AA"/>
    <w:rsid w:val="00A959D1"/>
    <w:rsid w:val="00A95A4D"/>
    <w:rsid w:val="00A95C0F"/>
    <w:rsid w:val="00A96403"/>
    <w:rsid w:val="00AA0126"/>
    <w:rsid w:val="00AA0A27"/>
    <w:rsid w:val="00AA1EA6"/>
    <w:rsid w:val="00AA2241"/>
    <w:rsid w:val="00AA38D1"/>
    <w:rsid w:val="00AA3C74"/>
    <w:rsid w:val="00AA3FF4"/>
    <w:rsid w:val="00AA42E9"/>
    <w:rsid w:val="00AA52FC"/>
    <w:rsid w:val="00AA6190"/>
    <w:rsid w:val="00AA68FD"/>
    <w:rsid w:val="00AA6E90"/>
    <w:rsid w:val="00AA71C2"/>
    <w:rsid w:val="00AA768A"/>
    <w:rsid w:val="00AA7927"/>
    <w:rsid w:val="00AB01CE"/>
    <w:rsid w:val="00AB049E"/>
    <w:rsid w:val="00AB04D9"/>
    <w:rsid w:val="00AB0DF3"/>
    <w:rsid w:val="00AB1194"/>
    <w:rsid w:val="00AB2116"/>
    <w:rsid w:val="00AB2525"/>
    <w:rsid w:val="00AB3DAB"/>
    <w:rsid w:val="00AB4994"/>
    <w:rsid w:val="00AB5024"/>
    <w:rsid w:val="00AB50E4"/>
    <w:rsid w:val="00AB5270"/>
    <w:rsid w:val="00AB624C"/>
    <w:rsid w:val="00AB6401"/>
    <w:rsid w:val="00AB66A6"/>
    <w:rsid w:val="00AB6D23"/>
    <w:rsid w:val="00AB7381"/>
    <w:rsid w:val="00AB7E6B"/>
    <w:rsid w:val="00AC01E6"/>
    <w:rsid w:val="00AC0377"/>
    <w:rsid w:val="00AC088D"/>
    <w:rsid w:val="00AC1076"/>
    <w:rsid w:val="00AC1C44"/>
    <w:rsid w:val="00AC23A7"/>
    <w:rsid w:val="00AC28E8"/>
    <w:rsid w:val="00AC2FAD"/>
    <w:rsid w:val="00AC3B66"/>
    <w:rsid w:val="00AC44CA"/>
    <w:rsid w:val="00AC5387"/>
    <w:rsid w:val="00AC53BC"/>
    <w:rsid w:val="00AC590F"/>
    <w:rsid w:val="00AC6114"/>
    <w:rsid w:val="00AC7597"/>
    <w:rsid w:val="00AD0485"/>
    <w:rsid w:val="00AD10A3"/>
    <w:rsid w:val="00AD116B"/>
    <w:rsid w:val="00AD12F8"/>
    <w:rsid w:val="00AD1348"/>
    <w:rsid w:val="00AD1834"/>
    <w:rsid w:val="00AD1CF5"/>
    <w:rsid w:val="00AD27A9"/>
    <w:rsid w:val="00AD45AB"/>
    <w:rsid w:val="00AD46A5"/>
    <w:rsid w:val="00AD47E0"/>
    <w:rsid w:val="00AD5995"/>
    <w:rsid w:val="00AD64F2"/>
    <w:rsid w:val="00AD6693"/>
    <w:rsid w:val="00AE022F"/>
    <w:rsid w:val="00AE0540"/>
    <w:rsid w:val="00AE1279"/>
    <w:rsid w:val="00AE15C0"/>
    <w:rsid w:val="00AE1FE9"/>
    <w:rsid w:val="00AE2689"/>
    <w:rsid w:val="00AE2E91"/>
    <w:rsid w:val="00AE33C9"/>
    <w:rsid w:val="00AE369E"/>
    <w:rsid w:val="00AE3EAE"/>
    <w:rsid w:val="00AE3FFD"/>
    <w:rsid w:val="00AE4728"/>
    <w:rsid w:val="00AE4826"/>
    <w:rsid w:val="00AE519A"/>
    <w:rsid w:val="00AE61A7"/>
    <w:rsid w:val="00AE7DA3"/>
    <w:rsid w:val="00AE7F00"/>
    <w:rsid w:val="00AF0E3C"/>
    <w:rsid w:val="00AF1D5B"/>
    <w:rsid w:val="00AF2A6E"/>
    <w:rsid w:val="00AF2D87"/>
    <w:rsid w:val="00AF3051"/>
    <w:rsid w:val="00AF36EF"/>
    <w:rsid w:val="00AF3D2A"/>
    <w:rsid w:val="00AF4861"/>
    <w:rsid w:val="00AF653E"/>
    <w:rsid w:val="00AF7314"/>
    <w:rsid w:val="00B0023D"/>
    <w:rsid w:val="00B009B0"/>
    <w:rsid w:val="00B009FF"/>
    <w:rsid w:val="00B015E7"/>
    <w:rsid w:val="00B016A9"/>
    <w:rsid w:val="00B01ACD"/>
    <w:rsid w:val="00B0233A"/>
    <w:rsid w:val="00B04155"/>
    <w:rsid w:val="00B04307"/>
    <w:rsid w:val="00B04889"/>
    <w:rsid w:val="00B04911"/>
    <w:rsid w:val="00B04D8A"/>
    <w:rsid w:val="00B04E8D"/>
    <w:rsid w:val="00B05D69"/>
    <w:rsid w:val="00B065DC"/>
    <w:rsid w:val="00B06661"/>
    <w:rsid w:val="00B077D0"/>
    <w:rsid w:val="00B10156"/>
    <w:rsid w:val="00B10C0A"/>
    <w:rsid w:val="00B10EE6"/>
    <w:rsid w:val="00B11C3E"/>
    <w:rsid w:val="00B1260B"/>
    <w:rsid w:val="00B1301B"/>
    <w:rsid w:val="00B13095"/>
    <w:rsid w:val="00B1347B"/>
    <w:rsid w:val="00B13A4A"/>
    <w:rsid w:val="00B13BA5"/>
    <w:rsid w:val="00B13F9C"/>
    <w:rsid w:val="00B142E4"/>
    <w:rsid w:val="00B1594E"/>
    <w:rsid w:val="00B159F6"/>
    <w:rsid w:val="00B15A9D"/>
    <w:rsid w:val="00B15C9D"/>
    <w:rsid w:val="00B16087"/>
    <w:rsid w:val="00B16254"/>
    <w:rsid w:val="00B16F9E"/>
    <w:rsid w:val="00B20693"/>
    <w:rsid w:val="00B214E2"/>
    <w:rsid w:val="00B22635"/>
    <w:rsid w:val="00B22856"/>
    <w:rsid w:val="00B22D14"/>
    <w:rsid w:val="00B24B98"/>
    <w:rsid w:val="00B25566"/>
    <w:rsid w:val="00B258D3"/>
    <w:rsid w:val="00B2657E"/>
    <w:rsid w:val="00B31C49"/>
    <w:rsid w:val="00B31D56"/>
    <w:rsid w:val="00B31EAA"/>
    <w:rsid w:val="00B3205A"/>
    <w:rsid w:val="00B32897"/>
    <w:rsid w:val="00B3342F"/>
    <w:rsid w:val="00B33935"/>
    <w:rsid w:val="00B34365"/>
    <w:rsid w:val="00B34465"/>
    <w:rsid w:val="00B34ACD"/>
    <w:rsid w:val="00B34E1B"/>
    <w:rsid w:val="00B36008"/>
    <w:rsid w:val="00B372BC"/>
    <w:rsid w:val="00B372DB"/>
    <w:rsid w:val="00B37E8F"/>
    <w:rsid w:val="00B41390"/>
    <w:rsid w:val="00B43419"/>
    <w:rsid w:val="00B44914"/>
    <w:rsid w:val="00B44B9A"/>
    <w:rsid w:val="00B455DD"/>
    <w:rsid w:val="00B4586F"/>
    <w:rsid w:val="00B45DE7"/>
    <w:rsid w:val="00B461C2"/>
    <w:rsid w:val="00B477DB"/>
    <w:rsid w:val="00B478F4"/>
    <w:rsid w:val="00B47CD7"/>
    <w:rsid w:val="00B51782"/>
    <w:rsid w:val="00B52139"/>
    <w:rsid w:val="00B52B23"/>
    <w:rsid w:val="00B52BEA"/>
    <w:rsid w:val="00B5312A"/>
    <w:rsid w:val="00B5463B"/>
    <w:rsid w:val="00B54833"/>
    <w:rsid w:val="00B5560F"/>
    <w:rsid w:val="00B55641"/>
    <w:rsid w:val="00B558F3"/>
    <w:rsid w:val="00B55C5C"/>
    <w:rsid w:val="00B55E5E"/>
    <w:rsid w:val="00B55F38"/>
    <w:rsid w:val="00B5626B"/>
    <w:rsid w:val="00B562B8"/>
    <w:rsid w:val="00B56C87"/>
    <w:rsid w:val="00B60965"/>
    <w:rsid w:val="00B61A3B"/>
    <w:rsid w:val="00B63248"/>
    <w:rsid w:val="00B6345D"/>
    <w:rsid w:val="00B63592"/>
    <w:rsid w:val="00B63CC9"/>
    <w:rsid w:val="00B63E8B"/>
    <w:rsid w:val="00B64963"/>
    <w:rsid w:val="00B65418"/>
    <w:rsid w:val="00B66DDA"/>
    <w:rsid w:val="00B67DE2"/>
    <w:rsid w:val="00B70398"/>
    <w:rsid w:val="00B70704"/>
    <w:rsid w:val="00B70808"/>
    <w:rsid w:val="00B70C9D"/>
    <w:rsid w:val="00B7131B"/>
    <w:rsid w:val="00B71648"/>
    <w:rsid w:val="00B72418"/>
    <w:rsid w:val="00B73006"/>
    <w:rsid w:val="00B736E4"/>
    <w:rsid w:val="00B74158"/>
    <w:rsid w:val="00B7544B"/>
    <w:rsid w:val="00B763EE"/>
    <w:rsid w:val="00B766A1"/>
    <w:rsid w:val="00B767CC"/>
    <w:rsid w:val="00B76F61"/>
    <w:rsid w:val="00B77280"/>
    <w:rsid w:val="00B77918"/>
    <w:rsid w:val="00B8024F"/>
    <w:rsid w:val="00B80E63"/>
    <w:rsid w:val="00B8280E"/>
    <w:rsid w:val="00B83146"/>
    <w:rsid w:val="00B83544"/>
    <w:rsid w:val="00B83866"/>
    <w:rsid w:val="00B84220"/>
    <w:rsid w:val="00B84F19"/>
    <w:rsid w:val="00B853F6"/>
    <w:rsid w:val="00B858B6"/>
    <w:rsid w:val="00B86456"/>
    <w:rsid w:val="00B87BF1"/>
    <w:rsid w:val="00B907EF"/>
    <w:rsid w:val="00B920D7"/>
    <w:rsid w:val="00B929E9"/>
    <w:rsid w:val="00B931C8"/>
    <w:rsid w:val="00B932EC"/>
    <w:rsid w:val="00B93C7F"/>
    <w:rsid w:val="00B93DFD"/>
    <w:rsid w:val="00B94060"/>
    <w:rsid w:val="00B94A3B"/>
    <w:rsid w:val="00B94E7F"/>
    <w:rsid w:val="00B95049"/>
    <w:rsid w:val="00B95458"/>
    <w:rsid w:val="00B95C7A"/>
    <w:rsid w:val="00B9722C"/>
    <w:rsid w:val="00B97969"/>
    <w:rsid w:val="00BA00C0"/>
    <w:rsid w:val="00BA0142"/>
    <w:rsid w:val="00BA034B"/>
    <w:rsid w:val="00BA0879"/>
    <w:rsid w:val="00BA14CF"/>
    <w:rsid w:val="00BA197B"/>
    <w:rsid w:val="00BA1C27"/>
    <w:rsid w:val="00BA25A1"/>
    <w:rsid w:val="00BA4529"/>
    <w:rsid w:val="00BA47D5"/>
    <w:rsid w:val="00BA5397"/>
    <w:rsid w:val="00BA5741"/>
    <w:rsid w:val="00BA5FCC"/>
    <w:rsid w:val="00BA67D0"/>
    <w:rsid w:val="00BA73A6"/>
    <w:rsid w:val="00BA760A"/>
    <w:rsid w:val="00BB02DB"/>
    <w:rsid w:val="00BB0859"/>
    <w:rsid w:val="00BB1044"/>
    <w:rsid w:val="00BB23E1"/>
    <w:rsid w:val="00BB2C10"/>
    <w:rsid w:val="00BB37BA"/>
    <w:rsid w:val="00BB392B"/>
    <w:rsid w:val="00BB3C36"/>
    <w:rsid w:val="00BB3C3C"/>
    <w:rsid w:val="00BB536B"/>
    <w:rsid w:val="00BB5926"/>
    <w:rsid w:val="00BB79D4"/>
    <w:rsid w:val="00BC0AA2"/>
    <w:rsid w:val="00BC0FDF"/>
    <w:rsid w:val="00BC2049"/>
    <w:rsid w:val="00BC275C"/>
    <w:rsid w:val="00BC2907"/>
    <w:rsid w:val="00BC29FD"/>
    <w:rsid w:val="00BC2A86"/>
    <w:rsid w:val="00BC2B07"/>
    <w:rsid w:val="00BC3B17"/>
    <w:rsid w:val="00BC3E17"/>
    <w:rsid w:val="00BC4F8C"/>
    <w:rsid w:val="00BC58F4"/>
    <w:rsid w:val="00BD0478"/>
    <w:rsid w:val="00BD0CB8"/>
    <w:rsid w:val="00BD1E9C"/>
    <w:rsid w:val="00BD28F6"/>
    <w:rsid w:val="00BD4428"/>
    <w:rsid w:val="00BD4AB2"/>
    <w:rsid w:val="00BD4BE7"/>
    <w:rsid w:val="00BD55FC"/>
    <w:rsid w:val="00BD641B"/>
    <w:rsid w:val="00BD65AE"/>
    <w:rsid w:val="00BD6A33"/>
    <w:rsid w:val="00BD7402"/>
    <w:rsid w:val="00BE0983"/>
    <w:rsid w:val="00BE0B3B"/>
    <w:rsid w:val="00BE0DB8"/>
    <w:rsid w:val="00BE15A6"/>
    <w:rsid w:val="00BE1708"/>
    <w:rsid w:val="00BE33BE"/>
    <w:rsid w:val="00BE34F5"/>
    <w:rsid w:val="00BE3A3E"/>
    <w:rsid w:val="00BE3D58"/>
    <w:rsid w:val="00BE428D"/>
    <w:rsid w:val="00BE4357"/>
    <w:rsid w:val="00BE5735"/>
    <w:rsid w:val="00BE632C"/>
    <w:rsid w:val="00BE7512"/>
    <w:rsid w:val="00BE7A6A"/>
    <w:rsid w:val="00BF0696"/>
    <w:rsid w:val="00BF0B5B"/>
    <w:rsid w:val="00BF1533"/>
    <w:rsid w:val="00BF291D"/>
    <w:rsid w:val="00BF46E3"/>
    <w:rsid w:val="00BF4ACB"/>
    <w:rsid w:val="00BF5758"/>
    <w:rsid w:val="00BF5776"/>
    <w:rsid w:val="00BF5816"/>
    <w:rsid w:val="00BF61BE"/>
    <w:rsid w:val="00BF7A5B"/>
    <w:rsid w:val="00BF7A63"/>
    <w:rsid w:val="00BF7BA2"/>
    <w:rsid w:val="00C01238"/>
    <w:rsid w:val="00C01886"/>
    <w:rsid w:val="00C019E2"/>
    <w:rsid w:val="00C02398"/>
    <w:rsid w:val="00C02677"/>
    <w:rsid w:val="00C02B59"/>
    <w:rsid w:val="00C03055"/>
    <w:rsid w:val="00C0424B"/>
    <w:rsid w:val="00C04593"/>
    <w:rsid w:val="00C06235"/>
    <w:rsid w:val="00C06484"/>
    <w:rsid w:val="00C0793C"/>
    <w:rsid w:val="00C10734"/>
    <w:rsid w:val="00C12650"/>
    <w:rsid w:val="00C1267F"/>
    <w:rsid w:val="00C12F84"/>
    <w:rsid w:val="00C14F8B"/>
    <w:rsid w:val="00C15092"/>
    <w:rsid w:val="00C15BD5"/>
    <w:rsid w:val="00C15F63"/>
    <w:rsid w:val="00C15F64"/>
    <w:rsid w:val="00C1705B"/>
    <w:rsid w:val="00C1763C"/>
    <w:rsid w:val="00C204CD"/>
    <w:rsid w:val="00C2051C"/>
    <w:rsid w:val="00C2052A"/>
    <w:rsid w:val="00C20602"/>
    <w:rsid w:val="00C20A13"/>
    <w:rsid w:val="00C2154F"/>
    <w:rsid w:val="00C2330A"/>
    <w:rsid w:val="00C23F24"/>
    <w:rsid w:val="00C25195"/>
    <w:rsid w:val="00C259A0"/>
    <w:rsid w:val="00C259E0"/>
    <w:rsid w:val="00C25CDB"/>
    <w:rsid w:val="00C2612E"/>
    <w:rsid w:val="00C27005"/>
    <w:rsid w:val="00C30C08"/>
    <w:rsid w:val="00C318B4"/>
    <w:rsid w:val="00C32EF0"/>
    <w:rsid w:val="00C33EC7"/>
    <w:rsid w:val="00C3496E"/>
    <w:rsid w:val="00C3546D"/>
    <w:rsid w:val="00C35D42"/>
    <w:rsid w:val="00C3650B"/>
    <w:rsid w:val="00C402D1"/>
    <w:rsid w:val="00C419FB"/>
    <w:rsid w:val="00C4210E"/>
    <w:rsid w:val="00C4220F"/>
    <w:rsid w:val="00C426C6"/>
    <w:rsid w:val="00C42CFD"/>
    <w:rsid w:val="00C435CA"/>
    <w:rsid w:val="00C43B24"/>
    <w:rsid w:val="00C43CE9"/>
    <w:rsid w:val="00C44B94"/>
    <w:rsid w:val="00C45FD5"/>
    <w:rsid w:val="00C471F3"/>
    <w:rsid w:val="00C5099D"/>
    <w:rsid w:val="00C50B1E"/>
    <w:rsid w:val="00C50C26"/>
    <w:rsid w:val="00C50CBF"/>
    <w:rsid w:val="00C516F9"/>
    <w:rsid w:val="00C527D9"/>
    <w:rsid w:val="00C533A2"/>
    <w:rsid w:val="00C54EAC"/>
    <w:rsid w:val="00C54F4D"/>
    <w:rsid w:val="00C56167"/>
    <w:rsid w:val="00C571B4"/>
    <w:rsid w:val="00C574B2"/>
    <w:rsid w:val="00C5778D"/>
    <w:rsid w:val="00C57974"/>
    <w:rsid w:val="00C579F5"/>
    <w:rsid w:val="00C60387"/>
    <w:rsid w:val="00C60651"/>
    <w:rsid w:val="00C6066D"/>
    <w:rsid w:val="00C60E24"/>
    <w:rsid w:val="00C61492"/>
    <w:rsid w:val="00C61A56"/>
    <w:rsid w:val="00C621E9"/>
    <w:rsid w:val="00C6454B"/>
    <w:rsid w:val="00C64893"/>
    <w:rsid w:val="00C657F8"/>
    <w:rsid w:val="00C659AC"/>
    <w:rsid w:val="00C65EC8"/>
    <w:rsid w:val="00C66695"/>
    <w:rsid w:val="00C66B65"/>
    <w:rsid w:val="00C66D2C"/>
    <w:rsid w:val="00C676ED"/>
    <w:rsid w:val="00C70701"/>
    <w:rsid w:val="00C70C0A"/>
    <w:rsid w:val="00C70E79"/>
    <w:rsid w:val="00C72571"/>
    <w:rsid w:val="00C72D70"/>
    <w:rsid w:val="00C732BD"/>
    <w:rsid w:val="00C73917"/>
    <w:rsid w:val="00C747B0"/>
    <w:rsid w:val="00C75D26"/>
    <w:rsid w:val="00C75E70"/>
    <w:rsid w:val="00C76235"/>
    <w:rsid w:val="00C7630A"/>
    <w:rsid w:val="00C775FF"/>
    <w:rsid w:val="00C778D2"/>
    <w:rsid w:val="00C804B9"/>
    <w:rsid w:val="00C81881"/>
    <w:rsid w:val="00C81D2D"/>
    <w:rsid w:val="00C81E0E"/>
    <w:rsid w:val="00C824C7"/>
    <w:rsid w:val="00C836F5"/>
    <w:rsid w:val="00C8373F"/>
    <w:rsid w:val="00C83E26"/>
    <w:rsid w:val="00C844F2"/>
    <w:rsid w:val="00C848E6"/>
    <w:rsid w:val="00C8577A"/>
    <w:rsid w:val="00C85790"/>
    <w:rsid w:val="00C8589C"/>
    <w:rsid w:val="00C85B5E"/>
    <w:rsid w:val="00C86722"/>
    <w:rsid w:val="00C87592"/>
    <w:rsid w:val="00C87734"/>
    <w:rsid w:val="00C90E18"/>
    <w:rsid w:val="00C92622"/>
    <w:rsid w:val="00C92823"/>
    <w:rsid w:val="00C92CE4"/>
    <w:rsid w:val="00C931A0"/>
    <w:rsid w:val="00C931F2"/>
    <w:rsid w:val="00C93495"/>
    <w:rsid w:val="00C946BC"/>
    <w:rsid w:val="00C94760"/>
    <w:rsid w:val="00C947B6"/>
    <w:rsid w:val="00C95C4F"/>
    <w:rsid w:val="00C95E68"/>
    <w:rsid w:val="00C96624"/>
    <w:rsid w:val="00C96F4F"/>
    <w:rsid w:val="00C9778D"/>
    <w:rsid w:val="00C97AD2"/>
    <w:rsid w:val="00CA004C"/>
    <w:rsid w:val="00CA2EB0"/>
    <w:rsid w:val="00CA4689"/>
    <w:rsid w:val="00CA5509"/>
    <w:rsid w:val="00CA5985"/>
    <w:rsid w:val="00CA6774"/>
    <w:rsid w:val="00CA6C84"/>
    <w:rsid w:val="00CA6F34"/>
    <w:rsid w:val="00CA71EB"/>
    <w:rsid w:val="00CB027C"/>
    <w:rsid w:val="00CB04A3"/>
    <w:rsid w:val="00CB148A"/>
    <w:rsid w:val="00CB1A12"/>
    <w:rsid w:val="00CB1CF0"/>
    <w:rsid w:val="00CB22DF"/>
    <w:rsid w:val="00CB3303"/>
    <w:rsid w:val="00CB3456"/>
    <w:rsid w:val="00CB4AF6"/>
    <w:rsid w:val="00CB53E2"/>
    <w:rsid w:val="00CB5AF5"/>
    <w:rsid w:val="00CB5FC4"/>
    <w:rsid w:val="00CB698C"/>
    <w:rsid w:val="00CB6D14"/>
    <w:rsid w:val="00CB6D19"/>
    <w:rsid w:val="00CB6E80"/>
    <w:rsid w:val="00CB764A"/>
    <w:rsid w:val="00CB7CF5"/>
    <w:rsid w:val="00CC028B"/>
    <w:rsid w:val="00CC067F"/>
    <w:rsid w:val="00CC09B3"/>
    <w:rsid w:val="00CC250A"/>
    <w:rsid w:val="00CC27C0"/>
    <w:rsid w:val="00CC40DA"/>
    <w:rsid w:val="00CC4549"/>
    <w:rsid w:val="00CC5E25"/>
    <w:rsid w:val="00CC5ECF"/>
    <w:rsid w:val="00CC6EEF"/>
    <w:rsid w:val="00CC7DC5"/>
    <w:rsid w:val="00CD1859"/>
    <w:rsid w:val="00CD2402"/>
    <w:rsid w:val="00CD24B7"/>
    <w:rsid w:val="00CD2B6E"/>
    <w:rsid w:val="00CD34DB"/>
    <w:rsid w:val="00CD3536"/>
    <w:rsid w:val="00CD356D"/>
    <w:rsid w:val="00CD39A3"/>
    <w:rsid w:val="00CD4CEA"/>
    <w:rsid w:val="00CD604B"/>
    <w:rsid w:val="00CD6687"/>
    <w:rsid w:val="00CD70FC"/>
    <w:rsid w:val="00CE0581"/>
    <w:rsid w:val="00CE0A35"/>
    <w:rsid w:val="00CE0F85"/>
    <w:rsid w:val="00CE10CA"/>
    <w:rsid w:val="00CE1BAB"/>
    <w:rsid w:val="00CE2656"/>
    <w:rsid w:val="00CE2B2F"/>
    <w:rsid w:val="00CE2E10"/>
    <w:rsid w:val="00CE2E22"/>
    <w:rsid w:val="00CE357A"/>
    <w:rsid w:val="00CE396A"/>
    <w:rsid w:val="00CE3AE0"/>
    <w:rsid w:val="00CE3B7F"/>
    <w:rsid w:val="00CE4254"/>
    <w:rsid w:val="00CE5373"/>
    <w:rsid w:val="00CE5AF4"/>
    <w:rsid w:val="00CE5DF8"/>
    <w:rsid w:val="00CE6CDE"/>
    <w:rsid w:val="00CF0455"/>
    <w:rsid w:val="00CF076C"/>
    <w:rsid w:val="00CF0D4F"/>
    <w:rsid w:val="00CF16D9"/>
    <w:rsid w:val="00CF185E"/>
    <w:rsid w:val="00CF19A3"/>
    <w:rsid w:val="00CF1A2D"/>
    <w:rsid w:val="00CF3C02"/>
    <w:rsid w:val="00CF43C4"/>
    <w:rsid w:val="00CF49B4"/>
    <w:rsid w:val="00CF5F7D"/>
    <w:rsid w:val="00CF6287"/>
    <w:rsid w:val="00CF62C1"/>
    <w:rsid w:val="00CF75EB"/>
    <w:rsid w:val="00CF770E"/>
    <w:rsid w:val="00CF78C3"/>
    <w:rsid w:val="00D00379"/>
    <w:rsid w:val="00D005F1"/>
    <w:rsid w:val="00D01A10"/>
    <w:rsid w:val="00D01C68"/>
    <w:rsid w:val="00D01E4F"/>
    <w:rsid w:val="00D02B28"/>
    <w:rsid w:val="00D03119"/>
    <w:rsid w:val="00D0406B"/>
    <w:rsid w:val="00D040B4"/>
    <w:rsid w:val="00D048D7"/>
    <w:rsid w:val="00D04DAB"/>
    <w:rsid w:val="00D05056"/>
    <w:rsid w:val="00D05C7C"/>
    <w:rsid w:val="00D05DA9"/>
    <w:rsid w:val="00D067DF"/>
    <w:rsid w:val="00D07903"/>
    <w:rsid w:val="00D105F9"/>
    <w:rsid w:val="00D108F1"/>
    <w:rsid w:val="00D10B48"/>
    <w:rsid w:val="00D123F0"/>
    <w:rsid w:val="00D12ACE"/>
    <w:rsid w:val="00D12C56"/>
    <w:rsid w:val="00D13299"/>
    <w:rsid w:val="00D14312"/>
    <w:rsid w:val="00D15A10"/>
    <w:rsid w:val="00D1662F"/>
    <w:rsid w:val="00D16A15"/>
    <w:rsid w:val="00D17173"/>
    <w:rsid w:val="00D176DD"/>
    <w:rsid w:val="00D20273"/>
    <w:rsid w:val="00D221BD"/>
    <w:rsid w:val="00D251A9"/>
    <w:rsid w:val="00D252F5"/>
    <w:rsid w:val="00D25C93"/>
    <w:rsid w:val="00D26205"/>
    <w:rsid w:val="00D26270"/>
    <w:rsid w:val="00D26997"/>
    <w:rsid w:val="00D26FB4"/>
    <w:rsid w:val="00D26FFE"/>
    <w:rsid w:val="00D274FC"/>
    <w:rsid w:val="00D27948"/>
    <w:rsid w:val="00D306AB"/>
    <w:rsid w:val="00D30EEB"/>
    <w:rsid w:val="00D3156B"/>
    <w:rsid w:val="00D31727"/>
    <w:rsid w:val="00D318D1"/>
    <w:rsid w:val="00D31D09"/>
    <w:rsid w:val="00D324A2"/>
    <w:rsid w:val="00D32AFE"/>
    <w:rsid w:val="00D32B97"/>
    <w:rsid w:val="00D34338"/>
    <w:rsid w:val="00D3496D"/>
    <w:rsid w:val="00D34C3C"/>
    <w:rsid w:val="00D34D86"/>
    <w:rsid w:val="00D34F7B"/>
    <w:rsid w:val="00D351B6"/>
    <w:rsid w:val="00D362B4"/>
    <w:rsid w:val="00D36B0C"/>
    <w:rsid w:val="00D36E1B"/>
    <w:rsid w:val="00D3700D"/>
    <w:rsid w:val="00D404EE"/>
    <w:rsid w:val="00D41A1F"/>
    <w:rsid w:val="00D41BF7"/>
    <w:rsid w:val="00D430EA"/>
    <w:rsid w:val="00D43208"/>
    <w:rsid w:val="00D447E9"/>
    <w:rsid w:val="00D4651E"/>
    <w:rsid w:val="00D46881"/>
    <w:rsid w:val="00D47429"/>
    <w:rsid w:val="00D4774E"/>
    <w:rsid w:val="00D507A1"/>
    <w:rsid w:val="00D509C3"/>
    <w:rsid w:val="00D512B6"/>
    <w:rsid w:val="00D51367"/>
    <w:rsid w:val="00D51726"/>
    <w:rsid w:val="00D51CB8"/>
    <w:rsid w:val="00D51E1F"/>
    <w:rsid w:val="00D51FEC"/>
    <w:rsid w:val="00D529AB"/>
    <w:rsid w:val="00D533DD"/>
    <w:rsid w:val="00D539BF"/>
    <w:rsid w:val="00D54340"/>
    <w:rsid w:val="00D54971"/>
    <w:rsid w:val="00D574C1"/>
    <w:rsid w:val="00D60AE8"/>
    <w:rsid w:val="00D61FC4"/>
    <w:rsid w:val="00D63189"/>
    <w:rsid w:val="00D631BA"/>
    <w:rsid w:val="00D6390A"/>
    <w:rsid w:val="00D64602"/>
    <w:rsid w:val="00D65A32"/>
    <w:rsid w:val="00D663AE"/>
    <w:rsid w:val="00D6651A"/>
    <w:rsid w:val="00D667FD"/>
    <w:rsid w:val="00D6695B"/>
    <w:rsid w:val="00D66C6A"/>
    <w:rsid w:val="00D6763D"/>
    <w:rsid w:val="00D67714"/>
    <w:rsid w:val="00D70146"/>
    <w:rsid w:val="00D70DD0"/>
    <w:rsid w:val="00D71366"/>
    <w:rsid w:val="00D73B0E"/>
    <w:rsid w:val="00D7484B"/>
    <w:rsid w:val="00D74BE7"/>
    <w:rsid w:val="00D74C3F"/>
    <w:rsid w:val="00D755FA"/>
    <w:rsid w:val="00D764A7"/>
    <w:rsid w:val="00D7728D"/>
    <w:rsid w:val="00D775AE"/>
    <w:rsid w:val="00D778FB"/>
    <w:rsid w:val="00D77997"/>
    <w:rsid w:val="00D8087E"/>
    <w:rsid w:val="00D80A86"/>
    <w:rsid w:val="00D82528"/>
    <w:rsid w:val="00D82ECD"/>
    <w:rsid w:val="00D832A9"/>
    <w:rsid w:val="00D8426D"/>
    <w:rsid w:val="00D84520"/>
    <w:rsid w:val="00D8528A"/>
    <w:rsid w:val="00D85A8F"/>
    <w:rsid w:val="00D86002"/>
    <w:rsid w:val="00D86EC2"/>
    <w:rsid w:val="00D87A74"/>
    <w:rsid w:val="00D90597"/>
    <w:rsid w:val="00D90EAB"/>
    <w:rsid w:val="00D91120"/>
    <w:rsid w:val="00D91593"/>
    <w:rsid w:val="00D92C69"/>
    <w:rsid w:val="00D92CAC"/>
    <w:rsid w:val="00D93381"/>
    <w:rsid w:val="00D939DF"/>
    <w:rsid w:val="00D93A87"/>
    <w:rsid w:val="00D93CC9"/>
    <w:rsid w:val="00D9477B"/>
    <w:rsid w:val="00D94BC2"/>
    <w:rsid w:val="00D94EF6"/>
    <w:rsid w:val="00D9553C"/>
    <w:rsid w:val="00D95A0A"/>
    <w:rsid w:val="00D9602B"/>
    <w:rsid w:val="00D96E8D"/>
    <w:rsid w:val="00D97068"/>
    <w:rsid w:val="00D97251"/>
    <w:rsid w:val="00D97775"/>
    <w:rsid w:val="00D97B2A"/>
    <w:rsid w:val="00DA082A"/>
    <w:rsid w:val="00DA09F9"/>
    <w:rsid w:val="00DA0DDB"/>
    <w:rsid w:val="00DA0E99"/>
    <w:rsid w:val="00DA1CC6"/>
    <w:rsid w:val="00DA1ECE"/>
    <w:rsid w:val="00DA275E"/>
    <w:rsid w:val="00DA28FC"/>
    <w:rsid w:val="00DA29A4"/>
    <w:rsid w:val="00DA3179"/>
    <w:rsid w:val="00DA337A"/>
    <w:rsid w:val="00DA434E"/>
    <w:rsid w:val="00DA4F24"/>
    <w:rsid w:val="00DA5168"/>
    <w:rsid w:val="00DA518D"/>
    <w:rsid w:val="00DA5725"/>
    <w:rsid w:val="00DA60F0"/>
    <w:rsid w:val="00DA6654"/>
    <w:rsid w:val="00DA6D88"/>
    <w:rsid w:val="00DA745B"/>
    <w:rsid w:val="00DB11CC"/>
    <w:rsid w:val="00DB12E8"/>
    <w:rsid w:val="00DB1DB7"/>
    <w:rsid w:val="00DB1EC6"/>
    <w:rsid w:val="00DB1F0E"/>
    <w:rsid w:val="00DB2FF2"/>
    <w:rsid w:val="00DB38F1"/>
    <w:rsid w:val="00DB3D9F"/>
    <w:rsid w:val="00DB4C9B"/>
    <w:rsid w:val="00DB59BA"/>
    <w:rsid w:val="00DB769C"/>
    <w:rsid w:val="00DC1EF9"/>
    <w:rsid w:val="00DC2635"/>
    <w:rsid w:val="00DC2B6C"/>
    <w:rsid w:val="00DC3256"/>
    <w:rsid w:val="00DC3A43"/>
    <w:rsid w:val="00DC4A99"/>
    <w:rsid w:val="00DC6DD5"/>
    <w:rsid w:val="00DC716B"/>
    <w:rsid w:val="00DD06E1"/>
    <w:rsid w:val="00DD1251"/>
    <w:rsid w:val="00DD147F"/>
    <w:rsid w:val="00DD15F8"/>
    <w:rsid w:val="00DD1A3A"/>
    <w:rsid w:val="00DD204F"/>
    <w:rsid w:val="00DD3A23"/>
    <w:rsid w:val="00DD3A46"/>
    <w:rsid w:val="00DD3EE9"/>
    <w:rsid w:val="00DD43FD"/>
    <w:rsid w:val="00DD45A7"/>
    <w:rsid w:val="00DD49E5"/>
    <w:rsid w:val="00DD51C0"/>
    <w:rsid w:val="00DD561F"/>
    <w:rsid w:val="00DD585E"/>
    <w:rsid w:val="00DD5C36"/>
    <w:rsid w:val="00DD5E2E"/>
    <w:rsid w:val="00DD6F21"/>
    <w:rsid w:val="00DD70AB"/>
    <w:rsid w:val="00DE0D9F"/>
    <w:rsid w:val="00DE218B"/>
    <w:rsid w:val="00DE22B6"/>
    <w:rsid w:val="00DE23D3"/>
    <w:rsid w:val="00DE3078"/>
    <w:rsid w:val="00DE3537"/>
    <w:rsid w:val="00DE3EA9"/>
    <w:rsid w:val="00DE45B2"/>
    <w:rsid w:val="00DE4A13"/>
    <w:rsid w:val="00DF093D"/>
    <w:rsid w:val="00DF0C17"/>
    <w:rsid w:val="00DF0F72"/>
    <w:rsid w:val="00DF11D6"/>
    <w:rsid w:val="00DF148B"/>
    <w:rsid w:val="00DF2DBB"/>
    <w:rsid w:val="00DF2E9C"/>
    <w:rsid w:val="00DF3276"/>
    <w:rsid w:val="00DF39E7"/>
    <w:rsid w:val="00DF3C7A"/>
    <w:rsid w:val="00DF454D"/>
    <w:rsid w:val="00DF4AC0"/>
    <w:rsid w:val="00DF4EFF"/>
    <w:rsid w:val="00DF5CC3"/>
    <w:rsid w:val="00DF63F5"/>
    <w:rsid w:val="00DF6A86"/>
    <w:rsid w:val="00DF786D"/>
    <w:rsid w:val="00E00394"/>
    <w:rsid w:val="00E01563"/>
    <w:rsid w:val="00E015A9"/>
    <w:rsid w:val="00E03F8E"/>
    <w:rsid w:val="00E04EE7"/>
    <w:rsid w:val="00E04F20"/>
    <w:rsid w:val="00E0510C"/>
    <w:rsid w:val="00E05A4A"/>
    <w:rsid w:val="00E05D62"/>
    <w:rsid w:val="00E06E45"/>
    <w:rsid w:val="00E07FC2"/>
    <w:rsid w:val="00E11B8E"/>
    <w:rsid w:val="00E11F1F"/>
    <w:rsid w:val="00E12C31"/>
    <w:rsid w:val="00E13074"/>
    <w:rsid w:val="00E131F4"/>
    <w:rsid w:val="00E13F52"/>
    <w:rsid w:val="00E14EA4"/>
    <w:rsid w:val="00E15C2D"/>
    <w:rsid w:val="00E16AF7"/>
    <w:rsid w:val="00E17102"/>
    <w:rsid w:val="00E17180"/>
    <w:rsid w:val="00E177EA"/>
    <w:rsid w:val="00E20EAB"/>
    <w:rsid w:val="00E21FD6"/>
    <w:rsid w:val="00E22425"/>
    <w:rsid w:val="00E23295"/>
    <w:rsid w:val="00E23A6D"/>
    <w:rsid w:val="00E2473A"/>
    <w:rsid w:val="00E24D74"/>
    <w:rsid w:val="00E275DC"/>
    <w:rsid w:val="00E27632"/>
    <w:rsid w:val="00E27AF2"/>
    <w:rsid w:val="00E30C79"/>
    <w:rsid w:val="00E31D48"/>
    <w:rsid w:val="00E3223C"/>
    <w:rsid w:val="00E32889"/>
    <w:rsid w:val="00E330EC"/>
    <w:rsid w:val="00E33E00"/>
    <w:rsid w:val="00E34392"/>
    <w:rsid w:val="00E34A5C"/>
    <w:rsid w:val="00E35243"/>
    <w:rsid w:val="00E35570"/>
    <w:rsid w:val="00E35C52"/>
    <w:rsid w:val="00E35FF5"/>
    <w:rsid w:val="00E3622D"/>
    <w:rsid w:val="00E366E4"/>
    <w:rsid w:val="00E36F0A"/>
    <w:rsid w:val="00E371E8"/>
    <w:rsid w:val="00E37D33"/>
    <w:rsid w:val="00E4003D"/>
    <w:rsid w:val="00E40119"/>
    <w:rsid w:val="00E403BA"/>
    <w:rsid w:val="00E406B3"/>
    <w:rsid w:val="00E4077B"/>
    <w:rsid w:val="00E4080A"/>
    <w:rsid w:val="00E41192"/>
    <w:rsid w:val="00E421AA"/>
    <w:rsid w:val="00E43F58"/>
    <w:rsid w:val="00E4402B"/>
    <w:rsid w:val="00E443C8"/>
    <w:rsid w:val="00E444D5"/>
    <w:rsid w:val="00E4468D"/>
    <w:rsid w:val="00E44E83"/>
    <w:rsid w:val="00E45128"/>
    <w:rsid w:val="00E451C7"/>
    <w:rsid w:val="00E455B8"/>
    <w:rsid w:val="00E45955"/>
    <w:rsid w:val="00E46C9B"/>
    <w:rsid w:val="00E47888"/>
    <w:rsid w:val="00E5003D"/>
    <w:rsid w:val="00E5010D"/>
    <w:rsid w:val="00E50D49"/>
    <w:rsid w:val="00E50F15"/>
    <w:rsid w:val="00E5139A"/>
    <w:rsid w:val="00E5143A"/>
    <w:rsid w:val="00E51455"/>
    <w:rsid w:val="00E52B0E"/>
    <w:rsid w:val="00E54BDA"/>
    <w:rsid w:val="00E557E8"/>
    <w:rsid w:val="00E55B22"/>
    <w:rsid w:val="00E56C4C"/>
    <w:rsid w:val="00E56DB0"/>
    <w:rsid w:val="00E577AB"/>
    <w:rsid w:val="00E60813"/>
    <w:rsid w:val="00E60E85"/>
    <w:rsid w:val="00E6142B"/>
    <w:rsid w:val="00E61A32"/>
    <w:rsid w:val="00E61ED4"/>
    <w:rsid w:val="00E62577"/>
    <w:rsid w:val="00E62F71"/>
    <w:rsid w:val="00E63156"/>
    <w:rsid w:val="00E63434"/>
    <w:rsid w:val="00E64536"/>
    <w:rsid w:val="00E6472A"/>
    <w:rsid w:val="00E650EB"/>
    <w:rsid w:val="00E654D3"/>
    <w:rsid w:val="00E65CAD"/>
    <w:rsid w:val="00E66276"/>
    <w:rsid w:val="00E667F5"/>
    <w:rsid w:val="00E676C2"/>
    <w:rsid w:val="00E677F3"/>
    <w:rsid w:val="00E67A22"/>
    <w:rsid w:val="00E67A41"/>
    <w:rsid w:val="00E703E6"/>
    <w:rsid w:val="00E70D00"/>
    <w:rsid w:val="00E71014"/>
    <w:rsid w:val="00E71D16"/>
    <w:rsid w:val="00E71F89"/>
    <w:rsid w:val="00E727CB"/>
    <w:rsid w:val="00E72FB3"/>
    <w:rsid w:val="00E7386D"/>
    <w:rsid w:val="00E73BE7"/>
    <w:rsid w:val="00E750D9"/>
    <w:rsid w:val="00E752E7"/>
    <w:rsid w:val="00E7572F"/>
    <w:rsid w:val="00E757B2"/>
    <w:rsid w:val="00E76169"/>
    <w:rsid w:val="00E76F7E"/>
    <w:rsid w:val="00E76FC3"/>
    <w:rsid w:val="00E77BD0"/>
    <w:rsid w:val="00E81D3B"/>
    <w:rsid w:val="00E82050"/>
    <w:rsid w:val="00E82763"/>
    <w:rsid w:val="00E82A42"/>
    <w:rsid w:val="00E82A69"/>
    <w:rsid w:val="00E82ECB"/>
    <w:rsid w:val="00E830B8"/>
    <w:rsid w:val="00E84626"/>
    <w:rsid w:val="00E848D8"/>
    <w:rsid w:val="00E84940"/>
    <w:rsid w:val="00E84E25"/>
    <w:rsid w:val="00E851A0"/>
    <w:rsid w:val="00E858C4"/>
    <w:rsid w:val="00E85C3D"/>
    <w:rsid w:val="00E86BDD"/>
    <w:rsid w:val="00E86F85"/>
    <w:rsid w:val="00E872FA"/>
    <w:rsid w:val="00E873A6"/>
    <w:rsid w:val="00E87E86"/>
    <w:rsid w:val="00E87ED7"/>
    <w:rsid w:val="00E90396"/>
    <w:rsid w:val="00E90C5B"/>
    <w:rsid w:val="00E90DB5"/>
    <w:rsid w:val="00E91BD4"/>
    <w:rsid w:val="00E91E71"/>
    <w:rsid w:val="00E9266F"/>
    <w:rsid w:val="00E931A9"/>
    <w:rsid w:val="00E93359"/>
    <w:rsid w:val="00E93FA0"/>
    <w:rsid w:val="00E94A77"/>
    <w:rsid w:val="00E94B14"/>
    <w:rsid w:val="00E94EC5"/>
    <w:rsid w:val="00E952A0"/>
    <w:rsid w:val="00E95E01"/>
    <w:rsid w:val="00E962DB"/>
    <w:rsid w:val="00E967C8"/>
    <w:rsid w:val="00E968E0"/>
    <w:rsid w:val="00E96B1B"/>
    <w:rsid w:val="00E97118"/>
    <w:rsid w:val="00E97D9A"/>
    <w:rsid w:val="00E97F02"/>
    <w:rsid w:val="00EA0B87"/>
    <w:rsid w:val="00EA151F"/>
    <w:rsid w:val="00EA18C6"/>
    <w:rsid w:val="00EA1BF5"/>
    <w:rsid w:val="00EA2045"/>
    <w:rsid w:val="00EA2DAD"/>
    <w:rsid w:val="00EA42FD"/>
    <w:rsid w:val="00EA44FB"/>
    <w:rsid w:val="00EA4709"/>
    <w:rsid w:val="00EA47D5"/>
    <w:rsid w:val="00EA4A56"/>
    <w:rsid w:val="00EA4E69"/>
    <w:rsid w:val="00EA59BA"/>
    <w:rsid w:val="00EA59E8"/>
    <w:rsid w:val="00EA608E"/>
    <w:rsid w:val="00EA6275"/>
    <w:rsid w:val="00EA658C"/>
    <w:rsid w:val="00EA6BD9"/>
    <w:rsid w:val="00EA7009"/>
    <w:rsid w:val="00EA7379"/>
    <w:rsid w:val="00EB0092"/>
    <w:rsid w:val="00EB03C5"/>
    <w:rsid w:val="00EB07AC"/>
    <w:rsid w:val="00EB10CA"/>
    <w:rsid w:val="00EB111A"/>
    <w:rsid w:val="00EB1241"/>
    <w:rsid w:val="00EB12C6"/>
    <w:rsid w:val="00EB1C41"/>
    <w:rsid w:val="00EB3525"/>
    <w:rsid w:val="00EB35AE"/>
    <w:rsid w:val="00EB4B82"/>
    <w:rsid w:val="00EB582D"/>
    <w:rsid w:val="00EB666E"/>
    <w:rsid w:val="00EB7B8B"/>
    <w:rsid w:val="00EC0945"/>
    <w:rsid w:val="00EC1310"/>
    <w:rsid w:val="00EC17FD"/>
    <w:rsid w:val="00EC1A56"/>
    <w:rsid w:val="00EC3001"/>
    <w:rsid w:val="00EC431A"/>
    <w:rsid w:val="00EC439A"/>
    <w:rsid w:val="00EC4749"/>
    <w:rsid w:val="00EC5098"/>
    <w:rsid w:val="00EC51F2"/>
    <w:rsid w:val="00EC5547"/>
    <w:rsid w:val="00EC6634"/>
    <w:rsid w:val="00EC6A64"/>
    <w:rsid w:val="00EC6A8F"/>
    <w:rsid w:val="00EC750D"/>
    <w:rsid w:val="00EC779C"/>
    <w:rsid w:val="00ED0C84"/>
    <w:rsid w:val="00ED0F5A"/>
    <w:rsid w:val="00ED1DCE"/>
    <w:rsid w:val="00ED23D4"/>
    <w:rsid w:val="00ED2654"/>
    <w:rsid w:val="00ED2EB3"/>
    <w:rsid w:val="00ED4151"/>
    <w:rsid w:val="00ED464C"/>
    <w:rsid w:val="00ED50D9"/>
    <w:rsid w:val="00ED58CE"/>
    <w:rsid w:val="00ED598E"/>
    <w:rsid w:val="00ED5D94"/>
    <w:rsid w:val="00ED611F"/>
    <w:rsid w:val="00ED6142"/>
    <w:rsid w:val="00ED6A86"/>
    <w:rsid w:val="00ED6B67"/>
    <w:rsid w:val="00ED7E57"/>
    <w:rsid w:val="00ED7F1F"/>
    <w:rsid w:val="00EE03B5"/>
    <w:rsid w:val="00EE19FF"/>
    <w:rsid w:val="00EE1B15"/>
    <w:rsid w:val="00EE22A8"/>
    <w:rsid w:val="00EE2497"/>
    <w:rsid w:val="00EE277E"/>
    <w:rsid w:val="00EE34A2"/>
    <w:rsid w:val="00EE37F3"/>
    <w:rsid w:val="00EE3FA8"/>
    <w:rsid w:val="00EE4864"/>
    <w:rsid w:val="00EE4C33"/>
    <w:rsid w:val="00EE57C1"/>
    <w:rsid w:val="00EE61F9"/>
    <w:rsid w:val="00EE6A6B"/>
    <w:rsid w:val="00EE75EE"/>
    <w:rsid w:val="00EE7615"/>
    <w:rsid w:val="00EF0033"/>
    <w:rsid w:val="00EF05F8"/>
    <w:rsid w:val="00EF0C59"/>
    <w:rsid w:val="00EF1643"/>
    <w:rsid w:val="00EF1993"/>
    <w:rsid w:val="00EF3550"/>
    <w:rsid w:val="00EF3587"/>
    <w:rsid w:val="00EF3C53"/>
    <w:rsid w:val="00EF3EF3"/>
    <w:rsid w:val="00EF480C"/>
    <w:rsid w:val="00EF66D4"/>
    <w:rsid w:val="00EF7E8B"/>
    <w:rsid w:val="00F01AF6"/>
    <w:rsid w:val="00F01CAE"/>
    <w:rsid w:val="00F027DE"/>
    <w:rsid w:val="00F02DF0"/>
    <w:rsid w:val="00F02F72"/>
    <w:rsid w:val="00F0385C"/>
    <w:rsid w:val="00F04A8B"/>
    <w:rsid w:val="00F04AFE"/>
    <w:rsid w:val="00F06F2A"/>
    <w:rsid w:val="00F07678"/>
    <w:rsid w:val="00F10383"/>
    <w:rsid w:val="00F10425"/>
    <w:rsid w:val="00F1074F"/>
    <w:rsid w:val="00F1086C"/>
    <w:rsid w:val="00F10CE0"/>
    <w:rsid w:val="00F10DBC"/>
    <w:rsid w:val="00F10E5C"/>
    <w:rsid w:val="00F11C4C"/>
    <w:rsid w:val="00F11CEB"/>
    <w:rsid w:val="00F12133"/>
    <w:rsid w:val="00F12FCF"/>
    <w:rsid w:val="00F130D9"/>
    <w:rsid w:val="00F13715"/>
    <w:rsid w:val="00F14039"/>
    <w:rsid w:val="00F14FA5"/>
    <w:rsid w:val="00F16610"/>
    <w:rsid w:val="00F16DFD"/>
    <w:rsid w:val="00F17018"/>
    <w:rsid w:val="00F17140"/>
    <w:rsid w:val="00F1715F"/>
    <w:rsid w:val="00F17935"/>
    <w:rsid w:val="00F17C21"/>
    <w:rsid w:val="00F17E00"/>
    <w:rsid w:val="00F2008E"/>
    <w:rsid w:val="00F21AF1"/>
    <w:rsid w:val="00F2288D"/>
    <w:rsid w:val="00F231BB"/>
    <w:rsid w:val="00F24A7D"/>
    <w:rsid w:val="00F25E1D"/>
    <w:rsid w:val="00F25EB7"/>
    <w:rsid w:val="00F2641E"/>
    <w:rsid w:val="00F26CF3"/>
    <w:rsid w:val="00F27011"/>
    <w:rsid w:val="00F303DA"/>
    <w:rsid w:val="00F30444"/>
    <w:rsid w:val="00F312A4"/>
    <w:rsid w:val="00F31318"/>
    <w:rsid w:val="00F330B6"/>
    <w:rsid w:val="00F33231"/>
    <w:rsid w:val="00F3342E"/>
    <w:rsid w:val="00F334E2"/>
    <w:rsid w:val="00F33F67"/>
    <w:rsid w:val="00F3485E"/>
    <w:rsid w:val="00F35A4D"/>
    <w:rsid w:val="00F36026"/>
    <w:rsid w:val="00F3660B"/>
    <w:rsid w:val="00F3698B"/>
    <w:rsid w:val="00F370FB"/>
    <w:rsid w:val="00F405EC"/>
    <w:rsid w:val="00F40858"/>
    <w:rsid w:val="00F40AE7"/>
    <w:rsid w:val="00F40E11"/>
    <w:rsid w:val="00F41A81"/>
    <w:rsid w:val="00F41EF9"/>
    <w:rsid w:val="00F43868"/>
    <w:rsid w:val="00F4391B"/>
    <w:rsid w:val="00F43D94"/>
    <w:rsid w:val="00F4442F"/>
    <w:rsid w:val="00F45953"/>
    <w:rsid w:val="00F4798E"/>
    <w:rsid w:val="00F505CF"/>
    <w:rsid w:val="00F50CCC"/>
    <w:rsid w:val="00F51A95"/>
    <w:rsid w:val="00F5215C"/>
    <w:rsid w:val="00F5251F"/>
    <w:rsid w:val="00F53D9B"/>
    <w:rsid w:val="00F54A64"/>
    <w:rsid w:val="00F55209"/>
    <w:rsid w:val="00F55D37"/>
    <w:rsid w:val="00F55F72"/>
    <w:rsid w:val="00F61728"/>
    <w:rsid w:val="00F6197C"/>
    <w:rsid w:val="00F62006"/>
    <w:rsid w:val="00F6238C"/>
    <w:rsid w:val="00F63EAA"/>
    <w:rsid w:val="00F64D84"/>
    <w:rsid w:val="00F64F88"/>
    <w:rsid w:val="00F65C05"/>
    <w:rsid w:val="00F65F24"/>
    <w:rsid w:val="00F70294"/>
    <w:rsid w:val="00F70B7B"/>
    <w:rsid w:val="00F70E37"/>
    <w:rsid w:val="00F70E8E"/>
    <w:rsid w:val="00F722A0"/>
    <w:rsid w:val="00F72F86"/>
    <w:rsid w:val="00F735F7"/>
    <w:rsid w:val="00F73C1D"/>
    <w:rsid w:val="00F73E15"/>
    <w:rsid w:val="00F74649"/>
    <w:rsid w:val="00F75BA5"/>
    <w:rsid w:val="00F76609"/>
    <w:rsid w:val="00F76777"/>
    <w:rsid w:val="00F776B2"/>
    <w:rsid w:val="00F77D33"/>
    <w:rsid w:val="00F77E8B"/>
    <w:rsid w:val="00F803C4"/>
    <w:rsid w:val="00F806E3"/>
    <w:rsid w:val="00F8196D"/>
    <w:rsid w:val="00F81CA5"/>
    <w:rsid w:val="00F830B3"/>
    <w:rsid w:val="00F83356"/>
    <w:rsid w:val="00F83BF4"/>
    <w:rsid w:val="00F83C39"/>
    <w:rsid w:val="00F85AE2"/>
    <w:rsid w:val="00F85D90"/>
    <w:rsid w:val="00F85ED6"/>
    <w:rsid w:val="00F85FF2"/>
    <w:rsid w:val="00F86DF8"/>
    <w:rsid w:val="00F87173"/>
    <w:rsid w:val="00F87F91"/>
    <w:rsid w:val="00F90438"/>
    <w:rsid w:val="00F913B3"/>
    <w:rsid w:val="00F922E3"/>
    <w:rsid w:val="00F92EA3"/>
    <w:rsid w:val="00F92FB9"/>
    <w:rsid w:val="00F949E3"/>
    <w:rsid w:val="00F94DC4"/>
    <w:rsid w:val="00F951FB"/>
    <w:rsid w:val="00F96095"/>
    <w:rsid w:val="00F97516"/>
    <w:rsid w:val="00FA0372"/>
    <w:rsid w:val="00FA1096"/>
    <w:rsid w:val="00FA1577"/>
    <w:rsid w:val="00FA1DFE"/>
    <w:rsid w:val="00FA207B"/>
    <w:rsid w:val="00FA23DA"/>
    <w:rsid w:val="00FA4079"/>
    <w:rsid w:val="00FA43FF"/>
    <w:rsid w:val="00FA44B6"/>
    <w:rsid w:val="00FA588C"/>
    <w:rsid w:val="00FA5B53"/>
    <w:rsid w:val="00FA6653"/>
    <w:rsid w:val="00FA6782"/>
    <w:rsid w:val="00FA6EF4"/>
    <w:rsid w:val="00FA729E"/>
    <w:rsid w:val="00FA7840"/>
    <w:rsid w:val="00FB121E"/>
    <w:rsid w:val="00FB1EA6"/>
    <w:rsid w:val="00FB225C"/>
    <w:rsid w:val="00FB25F1"/>
    <w:rsid w:val="00FB302F"/>
    <w:rsid w:val="00FB34DB"/>
    <w:rsid w:val="00FB43D5"/>
    <w:rsid w:val="00FB5F30"/>
    <w:rsid w:val="00FB6432"/>
    <w:rsid w:val="00FB660A"/>
    <w:rsid w:val="00FB6627"/>
    <w:rsid w:val="00FB6A40"/>
    <w:rsid w:val="00FB6BB6"/>
    <w:rsid w:val="00FC0062"/>
    <w:rsid w:val="00FC0253"/>
    <w:rsid w:val="00FC1004"/>
    <w:rsid w:val="00FC1710"/>
    <w:rsid w:val="00FC1C65"/>
    <w:rsid w:val="00FC227C"/>
    <w:rsid w:val="00FC22E0"/>
    <w:rsid w:val="00FC2E00"/>
    <w:rsid w:val="00FC3446"/>
    <w:rsid w:val="00FC3AD2"/>
    <w:rsid w:val="00FC3B6C"/>
    <w:rsid w:val="00FC3BAF"/>
    <w:rsid w:val="00FC3C72"/>
    <w:rsid w:val="00FC4777"/>
    <w:rsid w:val="00FC4CEF"/>
    <w:rsid w:val="00FC54EA"/>
    <w:rsid w:val="00FC6269"/>
    <w:rsid w:val="00FC67A3"/>
    <w:rsid w:val="00FC6C4C"/>
    <w:rsid w:val="00FC6FEE"/>
    <w:rsid w:val="00FC702C"/>
    <w:rsid w:val="00FC798F"/>
    <w:rsid w:val="00FC7D5D"/>
    <w:rsid w:val="00FD085E"/>
    <w:rsid w:val="00FD0EA6"/>
    <w:rsid w:val="00FD105F"/>
    <w:rsid w:val="00FD124C"/>
    <w:rsid w:val="00FD16AD"/>
    <w:rsid w:val="00FD1A46"/>
    <w:rsid w:val="00FD24E0"/>
    <w:rsid w:val="00FD349D"/>
    <w:rsid w:val="00FD3770"/>
    <w:rsid w:val="00FD4083"/>
    <w:rsid w:val="00FD42D6"/>
    <w:rsid w:val="00FD470B"/>
    <w:rsid w:val="00FD4B16"/>
    <w:rsid w:val="00FD511F"/>
    <w:rsid w:val="00FD59AE"/>
    <w:rsid w:val="00FD6323"/>
    <w:rsid w:val="00FD7371"/>
    <w:rsid w:val="00FD768E"/>
    <w:rsid w:val="00FD769F"/>
    <w:rsid w:val="00FE0D97"/>
    <w:rsid w:val="00FE13A1"/>
    <w:rsid w:val="00FE1DF7"/>
    <w:rsid w:val="00FE329F"/>
    <w:rsid w:val="00FE43D8"/>
    <w:rsid w:val="00FE4E61"/>
    <w:rsid w:val="00FE4FFE"/>
    <w:rsid w:val="00FE6129"/>
    <w:rsid w:val="00FE77DD"/>
    <w:rsid w:val="00FE7AF6"/>
    <w:rsid w:val="00FF02B3"/>
    <w:rsid w:val="00FF03CB"/>
    <w:rsid w:val="00FF0671"/>
    <w:rsid w:val="00FF0CE6"/>
    <w:rsid w:val="00FF131B"/>
    <w:rsid w:val="00FF154E"/>
    <w:rsid w:val="00FF21A5"/>
    <w:rsid w:val="00FF25C5"/>
    <w:rsid w:val="00FF27F7"/>
    <w:rsid w:val="00FF2CC3"/>
    <w:rsid w:val="00FF2DEE"/>
    <w:rsid w:val="00FF4046"/>
    <w:rsid w:val="00FF4697"/>
    <w:rsid w:val="00FF4964"/>
    <w:rsid w:val="00FF6040"/>
    <w:rsid w:val="00FF6BFE"/>
    <w:rsid w:val="00FF6E68"/>
    <w:rsid w:val="00FF7029"/>
    <w:rsid w:val="00FF770C"/>
    <w:rsid w:val="03609EED"/>
    <w:rsid w:val="0364D22B"/>
    <w:rsid w:val="03C6C94A"/>
    <w:rsid w:val="09102791"/>
    <w:rsid w:val="09F67D4C"/>
    <w:rsid w:val="0A2B7B89"/>
    <w:rsid w:val="0F2C508F"/>
    <w:rsid w:val="14EA24D5"/>
    <w:rsid w:val="174ACE97"/>
    <w:rsid w:val="17B345A2"/>
    <w:rsid w:val="17F0D810"/>
    <w:rsid w:val="184AA721"/>
    <w:rsid w:val="1C5D5909"/>
    <w:rsid w:val="1EF9F169"/>
    <w:rsid w:val="20A84B80"/>
    <w:rsid w:val="2164842A"/>
    <w:rsid w:val="25F8C359"/>
    <w:rsid w:val="2723F5A4"/>
    <w:rsid w:val="286C9B49"/>
    <w:rsid w:val="2AA0F588"/>
    <w:rsid w:val="2E50BF02"/>
    <w:rsid w:val="2FA8A941"/>
    <w:rsid w:val="311A6289"/>
    <w:rsid w:val="36393E7E"/>
    <w:rsid w:val="3742C50E"/>
    <w:rsid w:val="38B685E2"/>
    <w:rsid w:val="39AB22F0"/>
    <w:rsid w:val="3B89BE05"/>
    <w:rsid w:val="3C005758"/>
    <w:rsid w:val="3CD37E69"/>
    <w:rsid w:val="3F04DA17"/>
    <w:rsid w:val="403B7382"/>
    <w:rsid w:val="465E163A"/>
    <w:rsid w:val="498D1B7B"/>
    <w:rsid w:val="49A20FC7"/>
    <w:rsid w:val="4A0D6FB3"/>
    <w:rsid w:val="4E1DA7AD"/>
    <w:rsid w:val="4FF24386"/>
    <w:rsid w:val="5200B15E"/>
    <w:rsid w:val="53603AFC"/>
    <w:rsid w:val="5515FAF8"/>
    <w:rsid w:val="557695FE"/>
    <w:rsid w:val="59A4540A"/>
    <w:rsid w:val="5C60926A"/>
    <w:rsid w:val="5E8E8655"/>
    <w:rsid w:val="6EAB7548"/>
    <w:rsid w:val="708D8887"/>
    <w:rsid w:val="722090AE"/>
    <w:rsid w:val="732DA12E"/>
    <w:rsid w:val="733083B7"/>
    <w:rsid w:val="73878704"/>
    <w:rsid w:val="73B05976"/>
    <w:rsid w:val="78797116"/>
    <w:rsid w:val="78C11CB4"/>
    <w:rsid w:val="7A221B92"/>
    <w:rsid w:val="7B3B800B"/>
    <w:rsid w:val="7D41A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rPr>
      <w:lang w:val="en-IE"/>
    </w:r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E51455"/>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rPr>
      <w:lang w:val="en-IE"/>
    </w:rPr>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lang w:val="en-IE"/>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rPr>
      <w:lang w:val="en-IE"/>
    </w:rPr>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lang w:val="en-IE"/>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lang w:val="en-IE"/>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E51455"/>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E51455"/>
    <w:rPr>
      <w:sz w:val="20"/>
    </w:rPr>
  </w:style>
  <w:style w:type="character" w:styleId="CommentReference">
    <w:name w:val="annotation reference"/>
    <w:basedOn w:val="DefaultParagraphFont"/>
    <w:uiPriority w:val="99"/>
    <w:semiHidden/>
    <w:unhideWhenUsed/>
    <w:locked/>
    <w:rsid w:val="00E51455"/>
    <w:rPr>
      <w:sz w:val="16"/>
      <w:szCs w:val="16"/>
    </w:rPr>
  </w:style>
  <w:style w:type="paragraph" w:styleId="CommentText">
    <w:name w:val="annotation text"/>
    <w:basedOn w:val="Normal"/>
    <w:link w:val="CommentTextChar"/>
    <w:uiPriority w:val="99"/>
    <w:unhideWhenUsed/>
    <w:locked/>
    <w:rsid w:val="00E51455"/>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E51455"/>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E51455"/>
    <w:rPr>
      <w:vertAlign w:val="superscript"/>
    </w:rPr>
  </w:style>
  <w:style w:type="character" w:customStyle="1" w:styleId="TitleChar">
    <w:name w:val="Title Char"/>
    <w:basedOn w:val="DefaultParagraphFont"/>
    <w:link w:val="Title"/>
    <w:uiPriority w:val="10"/>
    <w:rsid w:val="00E51455"/>
    <w:rPr>
      <w:b/>
      <w:kern w:val="28"/>
      <w:sz w:val="48"/>
    </w:rPr>
  </w:style>
  <w:style w:type="table" w:styleId="GridTable7Colorful-Accent6">
    <w:name w:val="Grid Table 7 Colorful Accent 6"/>
    <w:basedOn w:val="TableNormal"/>
    <w:uiPriority w:val="52"/>
    <w:locked/>
    <w:rsid w:val="00E51455"/>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E51455"/>
    <w:rPr>
      <w:b/>
      <w:smallCaps/>
    </w:rPr>
  </w:style>
  <w:style w:type="character" w:customStyle="1" w:styleId="Heading2Char">
    <w:name w:val="Heading 2 Char"/>
    <w:basedOn w:val="DefaultParagraphFont"/>
    <w:link w:val="Heading2"/>
    <w:uiPriority w:val="9"/>
    <w:rsid w:val="00E51455"/>
    <w:rPr>
      <w:b/>
    </w:rPr>
  </w:style>
  <w:style w:type="character" w:customStyle="1" w:styleId="Heading3Char">
    <w:name w:val="Heading 3 Char"/>
    <w:basedOn w:val="DefaultParagraphFont"/>
    <w:link w:val="Heading3"/>
    <w:uiPriority w:val="9"/>
    <w:rsid w:val="00E51455"/>
    <w:rPr>
      <w:i/>
    </w:rPr>
  </w:style>
  <w:style w:type="character" w:customStyle="1" w:styleId="Heading4Char">
    <w:name w:val="Heading 4 Char"/>
    <w:basedOn w:val="DefaultParagraphFont"/>
    <w:link w:val="Heading4"/>
    <w:uiPriority w:val="9"/>
    <w:rsid w:val="00E51455"/>
  </w:style>
  <w:style w:type="character" w:customStyle="1" w:styleId="Heading5Char">
    <w:name w:val="Heading 5 Char"/>
    <w:basedOn w:val="DefaultParagraphFont"/>
    <w:link w:val="Heading5"/>
    <w:uiPriority w:val="9"/>
    <w:semiHidden/>
    <w:rsid w:val="00E51455"/>
  </w:style>
  <w:style w:type="character" w:customStyle="1" w:styleId="Heading6Char">
    <w:name w:val="Heading 6 Char"/>
    <w:basedOn w:val="DefaultParagraphFont"/>
    <w:link w:val="Heading6"/>
    <w:uiPriority w:val="9"/>
    <w:semiHidden/>
    <w:rsid w:val="00E51455"/>
  </w:style>
  <w:style w:type="character" w:customStyle="1" w:styleId="Heading7Char">
    <w:name w:val="Heading 7 Char"/>
    <w:basedOn w:val="DefaultParagraphFont"/>
    <w:link w:val="Heading7"/>
    <w:uiPriority w:val="9"/>
    <w:semiHidden/>
    <w:rsid w:val="00E51455"/>
  </w:style>
  <w:style w:type="character" w:customStyle="1" w:styleId="Heading8Char">
    <w:name w:val="Heading 8 Char"/>
    <w:basedOn w:val="DefaultParagraphFont"/>
    <w:link w:val="Heading8"/>
    <w:uiPriority w:val="9"/>
    <w:semiHidden/>
    <w:rsid w:val="00E51455"/>
  </w:style>
  <w:style w:type="character" w:customStyle="1" w:styleId="Heading9Char">
    <w:name w:val="Heading 9 Char"/>
    <w:basedOn w:val="DefaultParagraphFont"/>
    <w:link w:val="Heading9"/>
    <w:uiPriority w:val="9"/>
    <w:semiHidden/>
    <w:rsid w:val="00E51455"/>
  </w:style>
  <w:style w:type="paragraph" w:customStyle="1" w:styleId="FootnoteRoLReport">
    <w:name w:val="Footnote RoL Report"/>
    <w:basedOn w:val="FootnoteText"/>
    <w:link w:val="FootnoteRoLReportChar"/>
    <w:autoRedefine/>
    <w:qFormat/>
    <w:rsid w:val="00D91593"/>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D91593"/>
    <w:rPr>
      <w:rFonts w:eastAsiaTheme="minorHAnsi" w:cstheme="minorBidi"/>
      <w:sz w:val="20"/>
      <w:lang w:val="en-US" w:eastAsia="en-US"/>
    </w:rPr>
  </w:style>
  <w:style w:type="paragraph" w:styleId="ListParagraph">
    <w:name w:val="List Paragraph"/>
    <w:basedOn w:val="Normal"/>
    <w:uiPriority w:val="34"/>
    <w:qFormat/>
    <w:locked/>
    <w:rsid w:val="00E51455"/>
    <w:pPr>
      <w:ind w:left="720"/>
      <w:contextualSpacing/>
    </w:pPr>
    <w:rPr>
      <w:rFonts w:eastAsiaTheme="minorHAnsi" w:cstheme="minorBidi"/>
      <w:szCs w:val="22"/>
      <w:lang w:val="en-US" w:eastAsia="en-US"/>
    </w:rPr>
  </w:style>
  <w:style w:type="character" w:customStyle="1" w:styleId="Bodytext3">
    <w:name w:val="Body text|3_"/>
    <w:basedOn w:val="DefaultParagraphFont"/>
    <w:qFormat/>
    <w:rsid w:val="00E51455"/>
    <w:rPr>
      <w:rFonts w:ascii="Calibri" w:eastAsia="Calibri" w:hAnsi="Calibri" w:cs="Calibri"/>
      <w:i/>
      <w:iCs/>
      <w:shd w:val="clear" w:color="auto" w:fill="FFFFFF"/>
    </w:rPr>
  </w:style>
  <w:style w:type="paragraph" w:styleId="CommentSubject">
    <w:name w:val="annotation subject"/>
    <w:basedOn w:val="CommentText"/>
    <w:next w:val="CommentText"/>
    <w:link w:val="CommentSubjectChar"/>
    <w:uiPriority w:val="99"/>
    <w:semiHidden/>
    <w:unhideWhenUsed/>
    <w:locked/>
    <w:rsid w:val="00E51455"/>
    <w:rPr>
      <w:b/>
      <w:bCs/>
    </w:rPr>
  </w:style>
  <w:style w:type="character" w:customStyle="1" w:styleId="CommentSubjectChar">
    <w:name w:val="Comment Subject Char"/>
    <w:basedOn w:val="CommentTextChar"/>
    <w:link w:val="CommentSubject"/>
    <w:uiPriority w:val="99"/>
    <w:semiHidden/>
    <w:rsid w:val="00E51455"/>
    <w:rPr>
      <w:rFonts w:eastAsiaTheme="minorHAnsi" w:cstheme="minorBidi"/>
      <w:b/>
      <w:bCs/>
      <w:sz w:val="20"/>
      <w:lang w:val="en-US" w:eastAsia="en-US"/>
    </w:rPr>
  </w:style>
  <w:style w:type="character" w:customStyle="1" w:styleId="Mention">
    <w:name w:val="Mention"/>
    <w:basedOn w:val="DefaultParagraphFont"/>
    <w:uiPriority w:val="99"/>
    <w:unhideWhenUsed/>
    <w:rsid w:val="00E51455"/>
    <w:rPr>
      <w:color w:val="2B579A"/>
      <w:shd w:val="clear" w:color="auto" w:fill="E1DFDD"/>
    </w:rPr>
  </w:style>
  <w:style w:type="paragraph" w:styleId="Revision">
    <w:name w:val="Revision"/>
    <w:hidden/>
    <w:uiPriority w:val="99"/>
    <w:semiHidden/>
    <w:locked/>
    <w:rsid w:val="00E51455"/>
    <w:rPr>
      <w:rFonts w:eastAsiaTheme="minorHAnsi" w:cstheme="minorBidi"/>
      <w:szCs w:val="22"/>
      <w:lang w:val="en-US" w:eastAsia="en-US"/>
    </w:rPr>
  </w:style>
  <w:style w:type="character" w:styleId="Hyperlink">
    <w:name w:val="Hyperlink"/>
    <w:basedOn w:val="DefaultParagraphFont"/>
    <w:uiPriority w:val="99"/>
    <w:unhideWhenUsed/>
    <w:locked/>
    <w:rsid w:val="00E51455"/>
    <w:rPr>
      <w:color w:val="0563C1" w:themeColor="hyperlink"/>
      <w:u w:val="single"/>
    </w:rPr>
  </w:style>
  <w:style w:type="character" w:customStyle="1" w:styleId="UnresolvedMention">
    <w:name w:val="Unresolved Mention"/>
    <w:basedOn w:val="DefaultParagraphFont"/>
    <w:uiPriority w:val="99"/>
    <w:semiHidden/>
    <w:unhideWhenUsed/>
    <w:rsid w:val="00E51455"/>
    <w:rPr>
      <w:color w:val="605E5C"/>
      <w:shd w:val="clear" w:color="auto" w:fill="E1DFDD"/>
    </w:rPr>
  </w:style>
  <w:style w:type="character" w:styleId="FollowedHyperlink">
    <w:name w:val="FollowedHyperlink"/>
    <w:basedOn w:val="DefaultParagraphFont"/>
    <w:uiPriority w:val="99"/>
    <w:semiHidden/>
    <w:unhideWhenUsed/>
    <w:locked/>
    <w:rsid w:val="00E51455"/>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51455"/>
    <w:pPr>
      <w:spacing w:after="160" w:line="240" w:lineRule="exact"/>
    </w:pPr>
    <w:rPr>
      <w:vertAlign w:val="superscript"/>
    </w:rPr>
  </w:style>
  <w:style w:type="character" w:customStyle="1" w:styleId="Footnote1">
    <w:name w:val="Footnote|1_"/>
    <w:basedOn w:val="DefaultParagraphFont"/>
    <w:link w:val="Footnote10"/>
    <w:rsid w:val="00E51455"/>
    <w:rPr>
      <w:sz w:val="20"/>
    </w:rPr>
  </w:style>
  <w:style w:type="paragraph" w:customStyle="1" w:styleId="Footnote10">
    <w:name w:val="Footnote|1"/>
    <w:basedOn w:val="Normal"/>
    <w:link w:val="Footnote1"/>
    <w:rsid w:val="00E51455"/>
    <w:pPr>
      <w:widowControl w:val="0"/>
      <w:spacing w:after="0"/>
      <w:ind w:left="300" w:hanging="300"/>
      <w:jc w:val="left"/>
    </w:pPr>
    <w:rPr>
      <w:sz w:val="20"/>
    </w:rPr>
  </w:style>
  <w:style w:type="paragraph" w:styleId="NormalWeb">
    <w:name w:val="Normal (Web)"/>
    <w:basedOn w:val="Normal"/>
    <w:semiHidden/>
    <w:locked/>
    <w:rsid w:val="00CD24B7"/>
    <w:rPr>
      <w:szCs w:val="24"/>
    </w:rPr>
  </w:style>
  <w:style w:type="paragraph" w:styleId="HTMLPreformatted">
    <w:name w:val="HTML Preformatted"/>
    <w:basedOn w:val="Normal"/>
    <w:link w:val="HTMLPreformattedChar"/>
    <w:semiHidden/>
    <w:locked/>
    <w:rsid w:val="001A30BC"/>
    <w:pPr>
      <w:spacing w:after="0"/>
    </w:pPr>
    <w:rPr>
      <w:rFonts w:ascii="Consolas" w:hAnsi="Consolas"/>
      <w:sz w:val="20"/>
    </w:rPr>
  </w:style>
  <w:style w:type="character" w:customStyle="1" w:styleId="HTMLPreformattedChar">
    <w:name w:val="HTML Preformatted Char"/>
    <w:basedOn w:val="DefaultParagraphFont"/>
    <w:link w:val="HTMLPreformatted"/>
    <w:semiHidden/>
    <w:rsid w:val="001A30BC"/>
    <w:rPr>
      <w:rFonts w:ascii="Consolas" w:hAnsi="Consolas"/>
      <w:sz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8808">
      <w:bodyDiv w:val="1"/>
      <w:marLeft w:val="0"/>
      <w:marRight w:val="0"/>
      <w:marTop w:val="0"/>
      <w:marBottom w:val="0"/>
      <w:divBdr>
        <w:top w:val="none" w:sz="0" w:space="0" w:color="auto"/>
        <w:left w:val="none" w:sz="0" w:space="0" w:color="auto"/>
        <w:bottom w:val="none" w:sz="0" w:space="0" w:color="auto"/>
        <w:right w:val="none" w:sz="0" w:space="0" w:color="auto"/>
      </w:divBdr>
    </w:div>
    <w:div w:id="435373582">
      <w:bodyDiv w:val="1"/>
      <w:marLeft w:val="0"/>
      <w:marRight w:val="0"/>
      <w:marTop w:val="0"/>
      <w:marBottom w:val="0"/>
      <w:divBdr>
        <w:top w:val="none" w:sz="0" w:space="0" w:color="auto"/>
        <w:left w:val="none" w:sz="0" w:space="0" w:color="auto"/>
        <w:bottom w:val="none" w:sz="0" w:space="0" w:color="auto"/>
        <w:right w:val="none" w:sz="0" w:space="0" w:color="auto"/>
      </w:divBdr>
    </w:div>
    <w:div w:id="576330595">
      <w:bodyDiv w:val="1"/>
      <w:marLeft w:val="0"/>
      <w:marRight w:val="0"/>
      <w:marTop w:val="0"/>
      <w:marBottom w:val="0"/>
      <w:divBdr>
        <w:top w:val="none" w:sz="0" w:space="0" w:color="auto"/>
        <w:left w:val="none" w:sz="0" w:space="0" w:color="auto"/>
        <w:bottom w:val="none" w:sz="0" w:space="0" w:color="auto"/>
        <w:right w:val="none" w:sz="0" w:space="0" w:color="auto"/>
      </w:divBdr>
    </w:div>
    <w:div w:id="748163379">
      <w:bodyDiv w:val="1"/>
      <w:marLeft w:val="0"/>
      <w:marRight w:val="0"/>
      <w:marTop w:val="0"/>
      <w:marBottom w:val="0"/>
      <w:divBdr>
        <w:top w:val="none" w:sz="0" w:space="0" w:color="auto"/>
        <w:left w:val="none" w:sz="0" w:space="0" w:color="auto"/>
        <w:bottom w:val="none" w:sz="0" w:space="0" w:color="auto"/>
        <w:right w:val="none" w:sz="0" w:space="0" w:color="auto"/>
      </w:divBdr>
    </w:div>
    <w:div w:id="1034580090">
      <w:bodyDiv w:val="1"/>
      <w:marLeft w:val="0"/>
      <w:marRight w:val="0"/>
      <w:marTop w:val="0"/>
      <w:marBottom w:val="0"/>
      <w:divBdr>
        <w:top w:val="none" w:sz="0" w:space="0" w:color="auto"/>
        <w:left w:val="none" w:sz="0" w:space="0" w:color="auto"/>
        <w:bottom w:val="none" w:sz="0" w:space="0" w:color="auto"/>
        <w:right w:val="none" w:sz="0" w:space="0" w:color="auto"/>
      </w:divBdr>
    </w:div>
    <w:div w:id="1189639738">
      <w:bodyDiv w:val="1"/>
      <w:marLeft w:val="0"/>
      <w:marRight w:val="0"/>
      <w:marTop w:val="0"/>
      <w:marBottom w:val="0"/>
      <w:divBdr>
        <w:top w:val="none" w:sz="0" w:space="0" w:color="auto"/>
        <w:left w:val="none" w:sz="0" w:space="0" w:color="auto"/>
        <w:bottom w:val="none" w:sz="0" w:space="0" w:color="auto"/>
        <w:right w:val="none" w:sz="0" w:space="0" w:color="auto"/>
      </w:divBdr>
    </w:div>
    <w:div w:id="1636134583">
      <w:bodyDiv w:val="1"/>
      <w:marLeft w:val="0"/>
      <w:marRight w:val="0"/>
      <w:marTop w:val="0"/>
      <w:marBottom w:val="0"/>
      <w:divBdr>
        <w:top w:val="none" w:sz="0" w:space="0" w:color="auto"/>
        <w:left w:val="none" w:sz="0" w:space="0" w:color="auto"/>
        <w:bottom w:val="none" w:sz="0" w:space="0" w:color="auto"/>
        <w:right w:val="none" w:sz="0" w:space="0" w:color="auto"/>
      </w:divBdr>
    </w:div>
    <w:div w:id="1883395594">
      <w:bodyDiv w:val="1"/>
      <w:marLeft w:val="0"/>
      <w:marRight w:val="0"/>
      <w:marTop w:val="0"/>
      <w:marBottom w:val="0"/>
      <w:divBdr>
        <w:top w:val="none" w:sz="0" w:space="0" w:color="auto"/>
        <w:left w:val="none" w:sz="0" w:space="0" w:color="auto"/>
        <w:bottom w:val="none" w:sz="0" w:space="0" w:color="auto"/>
        <w:right w:val="none" w:sz="0" w:space="0" w:color="auto"/>
      </w:divBdr>
    </w:div>
    <w:div w:id="1943877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search.coe.int/cm?i=09125948802aca97" TargetMode="External"/><Relationship Id="rId39" Type="http://schemas.openxmlformats.org/officeDocument/2006/relationships/hyperlink" Target="https://www.unhcr.org/gr/en/news/announcements/unhcr-and-gnchr-express-concern-over-rhetoric-undermining-civil-society"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hias.org/statements/joint-civil-society-statement-migration-ministry-bill/" TargetMode="External"/><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search.coe.int/cm?i=091259488029dd24" TargetMode="External"/><Relationship Id="rId33" Type="http://schemas.openxmlformats.org/officeDocument/2006/relationships/hyperlink" Target="https://rule-of-law.ennhri.org/node/344" TargetMode="External"/><Relationship Id="rId38" Type="http://schemas.openxmlformats.org/officeDocument/2006/relationships/hyperlink" Target="https://www.oecd.org/en/publications/better-regulation-practices-across-the-european-union-2025_6f007516-en/full-report.html"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venice.coe.int/webforms/documents/?pdf=CDL-AD(2019)005-e" TargetMode="External"/><Relationship Id="rId41" Type="http://schemas.openxmlformats.org/officeDocument/2006/relationships/hyperlink" Target="https://spcommreports.ohchr.org/TMResultsBase/DownLoadPublicCommunicationFile?gId=3075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search.coe.int/cm?i=09125948802992af" TargetMode="External"/><Relationship Id="rId32" Type="http://schemas.openxmlformats.org/officeDocument/2006/relationships/hyperlink" Target="https://pgwrk-websitemedia.s3.eu-west-1.amazonaws.com/production/pwk-web-encj2017-p/Report%20ENCJ%20Survey%20on%20Independence-compressed_0.pdf" TargetMode="External"/><Relationship Id="rId37" Type="http://schemas.openxmlformats.org/officeDocument/2006/relationships/hyperlink" Target="https://aead.gr/en/publications-en/reports-en/annual-report-nta-2024" TargetMode="External"/><Relationship Id="rId40" Type="http://schemas.openxmlformats.org/officeDocument/2006/relationships/hyperlink" Target="https://spcommreports.ohchr.org/TMResultsBase/DownLoadPublicCommunicationFile?gId=30349" TargetMode="External"/><Relationship Id="rId45"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bodossaki.gr/wp-content/uploads/2025/03/ACTION-PLAN-FOR-CIVIL-SOCIETY-IN-GREECE.pdf" TargetMode="External"/><Relationship Id="rId28" Type="http://schemas.openxmlformats.org/officeDocument/2006/relationships/hyperlink" Target="https://fom.coe.int/en/alerte?idsPays=11709492&amp;alertesActives=true&amp;dateDebut=1735704000000&amp;dateFin=1767153600000&amp;nbElementDebut=0" TargetMode="External"/><Relationship Id="rId36" Type="http://schemas.openxmlformats.org/officeDocument/2006/relationships/hyperlink" Target="https://urldefense.com/v3/__https:/kefim.org/wp-content/uploads/2026/06/PB_No9_26_Tropologies.pdf__;!!DOxrgLBm!DRB_frZP8e0R-Bp27vzoEx1RLeR2DGiFdPjATiLDk-wdQc2wDv2hovNumDO_XKHn77hEXAe5CiBcuaka2wdn7KzKw9XcKRmELQ$" TargetMode="External"/><Relationship Id="rId49"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mfrr.eu/monitor/"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coe-expert-council-greece-opinion-march-2026/48802affcd" TargetMode="External"/><Relationship Id="rId30" Type="http://schemas.openxmlformats.org/officeDocument/2006/relationships/hyperlink" Target="https://www.coe.int/en/web/venice-commission/-/cdl-pi-2025-023-e" TargetMode="External"/><Relationship Id="rId35" Type="http://schemas.openxmlformats.org/officeDocument/2006/relationships/hyperlink" Target="https://urldefense.com/v3/__https:/kefim.org/para-tis-epimerous-veltioseis-i-nomothetiki-diadikasia-stin-ellada-ginetai-sto-podi/__;!!DOxrgLBm!DzWpIn-K14LtDLXYY2cEo-QcCvnKpkvrwV8OtiB4iqofcCqbBD2kZggwzg7gCf94IXjQCeAojFR3VfO4mLyn2wAKIK0VG0SiEA$" TargetMode="External"/><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customXml" Target="../customXml/item8.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AAE51-03C8-48B6-BB32-A706A98A76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9BB7C-547C-4C15-B61E-BE0A69226E01}">
  <ds:schemaRefs/>
</ds:datastoreItem>
</file>

<file path=customXml/itemProps3.xml><?xml version="1.0" encoding="utf-8"?>
<ds:datastoreItem xmlns:ds="http://schemas.openxmlformats.org/officeDocument/2006/customXml" ds:itemID="{074B99F9-1999-49CC-80A2-155F0F2B6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63C3FA-AD20-49C0-B06F-9BE2A161ACA7}">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85DEDC53-A93E-4ADB-9EC2-F69334C80BD2}">
  <ds:schemaRefs/>
</ds:datastoreItem>
</file>

<file path=customXml/itemProps8.xml><?xml version="1.0" encoding="utf-8"?>
<ds:datastoreItem xmlns:ds="http://schemas.openxmlformats.org/officeDocument/2006/customXml" ds:itemID="{0310CD95-B7C2-4D81-9227-BEEAA427F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12035</Words>
  <Characters>68603</Characters>
  <Application>Microsoft Office Word</Application>
  <DocSecurity>0</DocSecurity>
  <PresentationFormat>Microsoft Word 14.0</PresentationFormat>
  <Lines>571</Lines>
  <Paragraphs>160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80478</CharactersWithSpaces>
  <SharedDoc>false</SharedDoc>
  <HLinks>
    <vt:vector size="126" baseType="variant">
      <vt:variant>
        <vt:i4>7798844</vt:i4>
      </vt:variant>
      <vt:variant>
        <vt:i4>57</vt:i4>
      </vt:variant>
      <vt:variant>
        <vt:i4>0</vt:i4>
      </vt:variant>
      <vt:variant>
        <vt:i4>5</vt:i4>
      </vt:variant>
      <vt:variant>
        <vt:lpwstr>https://spcommreports.ohchr.org/TMResultsBase/DownLoadPublicCommunicationFile?gId=30750</vt:lpwstr>
      </vt:variant>
      <vt:variant>
        <vt:lpwstr/>
      </vt:variant>
      <vt:variant>
        <vt:i4>6750243</vt:i4>
      </vt:variant>
      <vt:variant>
        <vt:i4>54</vt:i4>
      </vt:variant>
      <vt:variant>
        <vt:i4>0</vt:i4>
      </vt:variant>
      <vt:variant>
        <vt:i4>5</vt:i4>
      </vt:variant>
      <vt:variant>
        <vt:lpwstr>https://spcommreports.ohchr.org/TMResultsBase/DownLoadPublicCommunicationFile?gId=30349</vt:lpwstr>
      </vt:variant>
      <vt:variant>
        <vt:lpwstr>:~:text=On%2020%20August%202025%2C%20the,of%20asylum%2C%20or%20misuse%20funds</vt:lpwstr>
      </vt:variant>
      <vt:variant>
        <vt:i4>3342432</vt:i4>
      </vt:variant>
      <vt:variant>
        <vt:i4>51</vt:i4>
      </vt:variant>
      <vt:variant>
        <vt:i4>0</vt:i4>
      </vt:variant>
      <vt:variant>
        <vt:i4>5</vt:i4>
      </vt:variant>
      <vt:variant>
        <vt:lpwstr>https://www.unhcr.org/gr/en/news/announcements/unhcr-and-gnchr-express-concern-over-rhetoric-undermining-civil-society</vt:lpwstr>
      </vt:variant>
      <vt:variant>
        <vt:lpwstr/>
      </vt:variant>
      <vt:variant>
        <vt:i4>3145740</vt:i4>
      </vt:variant>
      <vt:variant>
        <vt:i4>48</vt:i4>
      </vt:variant>
      <vt:variant>
        <vt:i4>0</vt:i4>
      </vt:variant>
      <vt:variant>
        <vt:i4>5</vt:i4>
      </vt:variant>
      <vt:variant>
        <vt:lpwstr>https://www.oecd.org/en/publications/better-regulation-practices-across-the-european-union-2025_6f007516-en/full-report.html</vt:lpwstr>
      </vt:variant>
      <vt:variant>
        <vt:lpwstr/>
      </vt:variant>
      <vt:variant>
        <vt:i4>5636097</vt:i4>
      </vt:variant>
      <vt:variant>
        <vt:i4>45</vt:i4>
      </vt:variant>
      <vt:variant>
        <vt:i4>0</vt:i4>
      </vt:variant>
      <vt:variant>
        <vt:i4>5</vt:i4>
      </vt:variant>
      <vt:variant>
        <vt:lpwstr>https://aead.gr/en/publications-en/reports-en/annual-report-nta-2024</vt:lpwstr>
      </vt:variant>
      <vt:variant>
        <vt:lpwstr/>
      </vt:variant>
      <vt:variant>
        <vt:i4>1048695</vt:i4>
      </vt:variant>
      <vt:variant>
        <vt:i4>42</vt:i4>
      </vt:variant>
      <vt:variant>
        <vt:i4>0</vt:i4>
      </vt:variant>
      <vt:variant>
        <vt:i4>5</vt:i4>
      </vt:variant>
      <vt:variant>
        <vt:lpwstr>https://urldefense.com/v3/__https:/kefim.org/wp-content/uploads/2026/06/PB_No9_26_Tropologies.pdf__;!!DOxrgLBm!DRB_frZP8e0R-Bp27vzoEx1RLeR2DGiFdPjATiLDk-wdQc2wDv2hovNumDO_XKHn77hEXAe5CiBcuaka2wdn7KzKw9XcKRmELQ$</vt:lpwstr>
      </vt:variant>
      <vt:variant>
        <vt:lpwstr/>
      </vt:variant>
      <vt:variant>
        <vt:i4>7012459</vt:i4>
      </vt:variant>
      <vt:variant>
        <vt:i4>39</vt:i4>
      </vt:variant>
      <vt:variant>
        <vt:i4>0</vt:i4>
      </vt:variant>
      <vt:variant>
        <vt:i4>5</vt:i4>
      </vt:variant>
      <vt:variant>
        <vt:lpwstr>https://urldefense.com/v3/__https:/kefim.org/para-tis-epimerous-veltioseis-i-nomothetiki-diadikasia-stin-ellada-ginetai-sto-podi/__;!!DOxrgLBm!DzWpIn-K14LtDLXYY2cEo-QcCvnKpkvrwV8OtiB4iqofcCqbBD2kZggwzg7gCf94IXjQCeAojFR3VfO4mLyn2wAKIK0VG0SiEA$</vt:lpwstr>
      </vt:variant>
      <vt:variant>
        <vt:lpwstr/>
      </vt:variant>
      <vt:variant>
        <vt:i4>3866728</vt:i4>
      </vt:variant>
      <vt:variant>
        <vt:i4>36</vt:i4>
      </vt:variant>
      <vt:variant>
        <vt:i4>0</vt:i4>
      </vt:variant>
      <vt:variant>
        <vt:i4>5</vt:i4>
      </vt:variant>
      <vt:variant>
        <vt:lpwstr>https://hias.org/statements/joint-civil-society-statement-migration-ministry-bill/</vt:lpwstr>
      </vt:variant>
      <vt:variant>
        <vt:lpwstr/>
      </vt:variant>
      <vt:variant>
        <vt:i4>7995453</vt:i4>
      </vt:variant>
      <vt:variant>
        <vt:i4>33</vt:i4>
      </vt:variant>
      <vt:variant>
        <vt:i4>0</vt:i4>
      </vt:variant>
      <vt:variant>
        <vt:i4>5</vt:i4>
      </vt:variant>
      <vt:variant>
        <vt:lpwstr>https://rule-of-law.ennhri.org/node/344</vt:lpwstr>
      </vt:variant>
      <vt:variant>
        <vt:lpwstr/>
      </vt:variant>
      <vt:variant>
        <vt:i4>262251</vt:i4>
      </vt:variant>
      <vt:variant>
        <vt:i4>30</vt:i4>
      </vt:variant>
      <vt:variant>
        <vt:i4>0</vt:i4>
      </vt:variant>
      <vt:variant>
        <vt:i4>5</vt:i4>
      </vt:variant>
      <vt:variant>
        <vt:lpwstr>https://pgwrk-websitemedia.s3.eu-west-1.amazonaws.com/production/pwk-web-encj2017-p/Report ENCJ Survey on Independence-compressed_0.pdf</vt:lpwstr>
      </vt:variant>
      <vt:variant>
        <vt:lpwstr/>
      </vt:variant>
      <vt:variant>
        <vt:i4>5242881</vt:i4>
      </vt:variant>
      <vt:variant>
        <vt:i4>27</vt:i4>
      </vt:variant>
      <vt:variant>
        <vt:i4>0</vt:i4>
      </vt:variant>
      <vt:variant>
        <vt:i4>5</vt:i4>
      </vt:variant>
      <vt:variant>
        <vt:lpwstr>https://www.mfrr.eu/monitor/</vt:lpwstr>
      </vt:variant>
      <vt:variant>
        <vt:lpwstr/>
      </vt:variant>
      <vt:variant>
        <vt:i4>983131</vt:i4>
      </vt:variant>
      <vt:variant>
        <vt:i4>24</vt:i4>
      </vt:variant>
      <vt:variant>
        <vt:i4>0</vt:i4>
      </vt:variant>
      <vt:variant>
        <vt:i4>5</vt:i4>
      </vt:variant>
      <vt:variant>
        <vt:lpwstr>https://www.coe.int/en/web/venice-commission/-/cdl-pi-2025-023-e</vt:lpwstr>
      </vt:variant>
      <vt:variant>
        <vt:lpwstr/>
      </vt:variant>
      <vt:variant>
        <vt:i4>2031644</vt:i4>
      </vt:variant>
      <vt:variant>
        <vt:i4>21</vt:i4>
      </vt:variant>
      <vt:variant>
        <vt:i4>0</vt:i4>
      </vt:variant>
      <vt:variant>
        <vt:i4>5</vt:i4>
      </vt:variant>
      <vt:variant>
        <vt:lpwstr>https://www.venice.coe.int/webforms/documents/?pdf=CDL-AD(2019)005-e</vt:lpwstr>
      </vt:variant>
      <vt:variant>
        <vt:lpwstr/>
      </vt:variant>
      <vt:variant>
        <vt:i4>3342451</vt:i4>
      </vt:variant>
      <vt:variant>
        <vt:i4>18</vt:i4>
      </vt:variant>
      <vt:variant>
        <vt:i4>0</vt:i4>
      </vt:variant>
      <vt:variant>
        <vt:i4>5</vt:i4>
      </vt:variant>
      <vt:variant>
        <vt:lpwstr>https://fom.coe.int/en/alerte?idsPays=11709492&amp;alertesActives=true&amp;dateDebut=1735704000000&amp;dateFin=1767153600000&amp;nbElementDebut=0</vt:lpwstr>
      </vt:variant>
      <vt:variant>
        <vt:lpwstr>search</vt:lpwstr>
      </vt:variant>
      <vt:variant>
        <vt:i4>3014700</vt:i4>
      </vt:variant>
      <vt:variant>
        <vt:i4>15</vt:i4>
      </vt:variant>
      <vt:variant>
        <vt:i4>0</vt:i4>
      </vt:variant>
      <vt:variant>
        <vt:i4>5</vt:i4>
      </vt:variant>
      <vt:variant>
        <vt:lpwstr>https://rm.coe.int/coe-expert-council-greece-opinion-march-2026/48802affcd</vt:lpwstr>
      </vt:variant>
      <vt:variant>
        <vt:lpwstr/>
      </vt:variant>
      <vt:variant>
        <vt:i4>1638475</vt:i4>
      </vt:variant>
      <vt:variant>
        <vt:i4>12</vt:i4>
      </vt:variant>
      <vt:variant>
        <vt:i4>0</vt:i4>
      </vt:variant>
      <vt:variant>
        <vt:i4>5</vt:i4>
      </vt:variant>
      <vt:variant>
        <vt:lpwstr>https://search.coe.int/cm?i=09125948802aca97</vt:lpwstr>
      </vt:variant>
      <vt:variant>
        <vt:lpwstr/>
      </vt:variant>
      <vt:variant>
        <vt:i4>4653127</vt:i4>
      </vt:variant>
      <vt:variant>
        <vt:i4>9</vt:i4>
      </vt:variant>
      <vt:variant>
        <vt:i4>0</vt:i4>
      </vt:variant>
      <vt:variant>
        <vt:i4>5</vt:i4>
      </vt:variant>
      <vt:variant>
        <vt:lpwstr>https://search.coe.int/cm?i=091259488029dd24</vt:lpwstr>
      </vt:variant>
      <vt:variant>
        <vt:lpwstr/>
      </vt:variant>
      <vt:variant>
        <vt:i4>4390985</vt:i4>
      </vt:variant>
      <vt:variant>
        <vt:i4>6</vt:i4>
      </vt:variant>
      <vt:variant>
        <vt:i4>0</vt:i4>
      </vt:variant>
      <vt:variant>
        <vt:i4>5</vt:i4>
      </vt:variant>
      <vt:variant>
        <vt:lpwstr>https://search.coe.int/cm?i=09125948802992af</vt:lpwstr>
      </vt:variant>
      <vt:variant>
        <vt:lpwstr/>
      </vt:variant>
      <vt:variant>
        <vt:i4>7274620</vt:i4>
      </vt:variant>
      <vt:variant>
        <vt:i4>3</vt:i4>
      </vt:variant>
      <vt:variant>
        <vt:i4>0</vt:i4>
      </vt:variant>
      <vt:variant>
        <vt:i4>5</vt:i4>
      </vt:variant>
      <vt:variant>
        <vt:lpwstr>https://www.bodossaki.gr/wp-content/uploads/2025/03/ACTION-PLAN-FOR-CIVIL-SOCIETY-IN-GREECE.pdf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2026-07-12T20:55:00Z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2026-07-12T10:00:09Z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09bd211b-f62d-4fa9-9df3-b0532184fe75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